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136931642"/>
        <w:docPartObj>
          <w:docPartGallery w:val="Cover Pages"/>
          <w:docPartUnique/>
        </w:docPartObj>
      </w:sdtPr>
      <w:sdtContent>
        <w:p w14:paraId="4674F52C" w14:textId="1200B5F4" w:rsidR="00807A75" w:rsidRDefault="00807A75">
          <w:r>
            <w:rPr>
              <w:noProof/>
              <w:lang w:val="en-US"/>
            </w:rPr>
            <mc:AlternateContent>
              <mc:Choice Requires="wps">
                <w:drawing>
                  <wp:anchor distT="0" distB="0" distL="114300" distR="114300" simplePos="0" relativeHeight="251664384" behindDoc="0" locked="0" layoutInCell="1" allowOverlap="1" wp14:anchorId="0FEE7A65" wp14:editId="4ADA2D43">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66000</wp14:pctPosVOffset>
                        </wp:positionV>
                      </mc:Choice>
                      <mc:Fallback>
                        <wp:positionV relativeFrom="page">
                          <wp:posOffset>7056755</wp:posOffset>
                        </wp:positionV>
                      </mc:Fallback>
                    </mc:AlternateContent>
                    <wp:extent cx="2797810" cy="268605"/>
                    <wp:effectExtent l="0" t="0" r="0" b="0"/>
                    <wp:wrapSquare wrapText="bothSides"/>
                    <wp:docPr id="465" name="Text Box 79"/>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378CBE38" w14:textId="17997878" w:rsidR="00807A75"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520D12">
                                      <w:rPr>
                                        <w:noProof/>
                                        <w:color w:val="44546A" w:themeColor="text2"/>
                                      </w:rPr>
                                      <w:t>Pluri Consultants Ro</w:t>
                                    </w:r>
                                    <w:r w:rsidR="00807A75">
                                      <w:rPr>
                                        <w:noProof/>
                                        <w:color w:val="44546A" w:themeColor="text2"/>
                                      </w:rPr>
                                      <w:t>mânia</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w14:anchorId="0FEE7A65" id="_x0000_t202" coordsize="21600,21600" o:spt="202" path="m,l,21600r21600,l21600,xe">
                    <v:stroke joinstyle="miter"/>
                    <v:path gradientshapeok="t" o:connecttype="rect"/>
                  </v:shapetype>
                  <v:shape id="Text Box 79" o:spid="_x0000_s1026" type="#_x0000_t202" style="position:absolute;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" filled="f" stroked="f" strokeweight=".5pt">
                    <v:textbox style="mso-fit-shape-to-text:t">
                      <w:txbxContent>
                        <w:p w14:paraId="378CBE38" w14:textId="17997878" w:rsidR="00807A75"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520D12">
                                <w:rPr>
                                  <w:noProof/>
                                  <w:color w:val="44546A" w:themeColor="text2"/>
                                </w:rPr>
                                <w:t>Pluri Consultants Ro</w:t>
                              </w:r>
                              <w:r w:rsidR="00807A75">
                                <w:rPr>
                                  <w:noProof/>
                                  <w:color w:val="44546A" w:themeColor="text2"/>
                                </w:rPr>
                                <w:t>mânia</w:t>
                              </w:r>
                            </w:sdtContent>
                          </w:sdt>
                        </w:p>
                      </w:txbxContent>
                    </v:textbox>
                    <w10:wrap type="square" anchorx="page" anchory="page"/>
                  </v:shape>
                </w:pict>
              </mc:Fallback>
            </mc:AlternateContent>
          </w:r>
          <w:r>
            <w:rPr>
              <w:noProof/>
              <w:lang w:val="en-US"/>
            </w:rPr>
            <mc:AlternateContent>
              <mc:Choice Requires="wps">
                <w:drawing>
                  <wp:anchor distT="0" distB="0" distL="114300" distR="114300" simplePos="0" relativeHeight="251663360" behindDoc="1" locked="0" layoutInCell="1" allowOverlap="1" wp14:anchorId="2F074280" wp14:editId="448EF633">
                    <wp:simplePos x="0" y="0"/>
                    <wp:positionH relativeFrom="page">
                      <wp:align>center</wp:align>
                    </wp:positionH>
                    <wp:positionV relativeFrom="page">
                      <wp:align>center</wp:align>
                    </wp:positionV>
                    <wp:extent cx="7383780" cy="9555480"/>
                    <wp:effectExtent l="0" t="0" r="7620" b="7620"/>
                    <wp:wrapNone/>
                    <wp:docPr id="466"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5FB29D29" w14:textId="77777777" w:rsidR="00807A75" w:rsidRDefault="00807A75"/>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F074280" id="Rectangle 80" o:spid="_x0000_s1027"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" fillcolor="#d9e2f3 [660]" stroked="f" strokeweight="1pt">
                    <v:fill color2="#8eaadb [1940]" rotate="t" focus="100%" type="gradient">
                      <o:fill v:ext="view" type="gradientUnscaled"/>
                    </v:fill>
                    <v:textbox inset="21.6pt,,21.6pt">
                      <w:txbxContent>
                        <w:p w14:paraId="5FB29D29" w14:textId="77777777" w:rsidR="00807A75" w:rsidRDefault="00807A75"/>
                      </w:txbxContent>
                    </v:textbox>
                    <w10:wrap anchorx="page" anchory="page"/>
                  </v:rect>
                </w:pict>
              </mc:Fallback>
            </mc:AlternateContent>
          </w:r>
          <w:r>
            <w:rPr>
              <w:noProof/>
              <w:lang w:val="en-US"/>
            </w:rPr>
            <mc:AlternateContent>
              <mc:Choice Requires="wps">
                <w:drawing>
                  <wp:anchor distT="0" distB="0" distL="114300" distR="114300" simplePos="0" relativeHeight="251660288" behindDoc="0" locked="0" layoutInCell="1" allowOverlap="1" wp14:anchorId="3B87EA3B" wp14:editId="68319BE5">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875915" cy="3017520"/>
                    <wp:effectExtent l="0" t="0" r="0" b="0"/>
                    <wp:wrapNone/>
                    <wp:docPr id="467" name="Rectangle 81"/>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A4350D" w14:textId="7C3EB0FC" w:rsidR="00807A75" w:rsidRDefault="00000000">
                                <w:pPr>
                                  <w:spacing w:before="240"/>
                                  <w:jc w:val="center"/>
                                  <w:rPr>
                                    <w:color w:val="FFFFFF" w:themeColor="background1"/>
                                  </w:rPr>
                                </w:pPr>
                                <w:sdt>
                                  <w:sdtPr>
                                    <w:rPr>
                                      <w:color w:val="FFFFFF" w:themeColor="background1"/>
                                    </w:rPr>
                                    <w:alias w:val="Abstract"/>
                                    <w:id w:val="8276291"/>
                                    <w:dataBinding w:prefixMappings="xmlns:ns0='http://schemas.microsoft.com/office/2006/coverPageProps'" w:xpath="/ns0:CoverPageProperties[1]/ns0:Abstract[1]" w:storeItemID="{55AF091B-3C7A-41E3-B477-F2FDAA23CFDA}"/>
                                    <w:text/>
                                  </w:sdtPr>
                                  <w:sdtContent>
                                    <w:r w:rsidR="00807A75">
                                      <w:rPr>
                                        <w:color w:val="FFFFFF" w:themeColor="background1"/>
                                      </w:rPr>
                                      <w:t>Acest document se utilizează în c</w:t>
                                    </w:r>
                                    <w:r w:rsidR="002D31C5">
                                      <w:rPr>
                                        <w:color w:val="FFFFFF" w:themeColor="background1"/>
                                      </w:rPr>
                                      <w:t>ad</w:t>
                                    </w:r>
                                    <w:r w:rsidR="00807A75">
                                      <w:rPr>
                                        <w:color w:val="FFFFFF" w:themeColor="background1"/>
                                      </w:rPr>
                                      <w:t>rul lucrărilor Comisiei de Selecție și Nominalizare</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3B87EA3B" id="Rectangle 81" o:spid="_x0000_s1028"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" fillcolor="#44546a [3215]" stroked="f" strokeweight="1pt">
                    <v:textbox inset="14.4pt,14.4pt,14.4pt,28.8pt">
                      <w:txbxContent>
                        <w:p w14:paraId="68A4350D" w14:textId="7C3EB0FC" w:rsidR="00807A75" w:rsidRDefault="00000000">
                          <w:pPr>
                            <w:spacing w:before="240"/>
                            <w:jc w:val="center"/>
                            <w:rPr>
                              <w:color w:val="FFFFFF" w:themeColor="background1"/>
                            </w:rPr>
                          </w:pPr>
                          <w:sdt>
                            <w:sdtPr>
                              <w:rPr>
                                <w:color w:val="FFFFFF" w:themeColor="background1"/>
                              </w:rPr>
                              <w:alias w:val="Abstract"/>
                              <w:id w:val="8276291"/>
                              <w:dataBinding w:prefixMappings="xmlns:ns0='http://schemas.microsoft.com/office/2006/coverPageProps'" w:xpath="/ns0:CoverPageProperties[1]/ns0:Abstract[1]" w:storeItemID="{55AF091B-3C7A-41E3-B477-F2FDAA23CFDA}"/>
                              <w:text/>
                            </w:sdtPr>
                            <w:sdtContent>
                              <w:r w:rsidR="00807A75">
                                <w:rPr>
                                  <w:color w:val="FFFFFF" w:themeColor="background1"/>
                                </w:rPr>
                                <w:t>Acest document se utilizează în c</w:t>
                              </w:r>
                              <w:r w:rsidR="002D31C5">
                                <w:rPr>
                                  <w:color w:val="FFFFFF" w:themeColor="background1"/>
                                </w:rPr>
                                <w:t>ad</w:t>
                              </w:r>
                              <w:r w:rsidR="00807A75">
                                <w:rPr>
                                  <w:color w:val="FFFFFF" w:themeColor="background1"/>
                                </w:rPr>
                                <w:t>rul lucrărilor Comisiei de Selecție și Nominalizare</w:t>
                              </w:r>
                            </w:sdtContent>
                          </w:sdt>
                        </w:p>
                      </w:txbxContent>
                    </v:textbox>
                    <w10:wrap anchorx="page" anchory="page"/>
                  </v:rect>
                </w:pict>
              </mc:Fallback>
            </mc:AlternateContent>
          </w:r>
          <w:r>
            <w:rPr>
              <w:noProof/>
              <w:lang w:val="en-US"/>
            </w:rPr>
            <mc:AlternateContent>
              <mc:Choice Requires="wps">
                <w:drawing>
                  <wp:anchor distT="0" distB="0" distL="114300" distR="114300" simplePos="0" relativeHeight="251659264" behindDoc="0" locked="0" layoutInCell="1" allowOverlap="1" wp14:anchorId="52367E73" wp14:editId="0F9DEEF3">
                    <wp:simplePos x="0" y="0"/>
                    <mc:AlternateContent>
                      <mc:Choice Requires="wp14">
                        <wp:positionH relativeFrom="page">
                          <wp14:pctPosHOffset>44000</wp14:pctPosHOffset>
                        </wp:positionH>
                      </mc:Choice>
                      <mc:Fallback>
                        <wp:positionH relativeFrom="page">
                          <wp:posOffset>3326130</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3108960" cy="7040880"/>
                    <wp:effectExtent l="0" t="0" r="0" b="0"/>
                    <wp:wrapNone/>
                    <wp:docPr id="468" name="Rectangle 82"/>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63BF49C8" id="Rectangle 82" o:spid="_x0000_s1026" style="position:absolute;margin-left:0;margin-top:0;width:244.8pt;height:554.4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" fillcolor="white [3212]" strokecolor="#747070 [1614]" strokeweight="1.25pt">
                    <w10:wrap anchorx="page" anchory="page"/>
                  </v:rect>
                </w:pict>
              </mc:Fallback>
            </mc:AlternateContent>
          </w:r>
          <w:r>
            <w:rPr>
              <w:noProof/>
              <w:lang w:val="en-US"/>
            </w:rPr>
            <mc:AlternateContent>
              <mc:Choice Requires="wps">
                <w:drawing>
                  <wp:anchor distT="0" distB="0" distL="114300" distR="114300" simplePos="0" relativeHeight="251662336" behindDoc="0" locked="0" layoutInCell="1" allowOverlap="1" wp14:anchorId="38E4ACB4" wp14:editId="37C259B8">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0" b="0"/>
                    <wp:wrapNone/>
                    <wp:docPr id="469" name="Rectangle 83"/>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15ADD521" id="Rectangle 83"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" fillcolor="#4472c4 [3204]" stroked="f" strokeweight="1pt">
                    <w10:wrap anchorx="page" anchory="page"/>
                  </v:rect>
                </w:pict>
              </mc:Fallback>
            </mc:AlternateContent>
          </w:r>
          <w:r>
            <w:rPr>
              <w:noProof/>
              <w:lang w:val="en-US"/>
            </w:rPr>
            <mc:AlternateContent>
              <mc:Choice Requires="wps">
                <w:drawing>
                  <wp:anchor distT="0" distB="0" distL="114300" distR="114300" simplePos="0" relativeHeight="251661312" behindDoc="0" locked="0" layoutInCell="1" allowOverlap="1" wp14:anchorId="35F8CA00" wp14:editId="246A39E5">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35000</wp14:pctPosVOffset>
                        </wp:positionV>
                      </mc:Choice>
                      <mc:Fallback>
                        <wp:positionV relativeFrom="page">
                          <wp:posOffset>3742055</wp:posOffset>
                        </wp:positionV>
                      </mc:Fallback>
                    </mc:AlternateContent>
                    <wp:extent cx="2797810" cy="2475230"/>
                    <wp:effectExtent l="0" t="0" r="0" b="0"/>
                    <wp:wrapSquare wrapText="bothSides"/>
                    <wp:docPr id="470" name="Text Box 84"/>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eastAsiaTheme="majorEastAsia" w:hAnsiTheme="majorHAnsi" w:cstheme="majorBidi"/>
                                    <w:noProof/>
                                    <w:color w:val="4472C4" w:themeColor="accent1"/>
                                    <w:sz w:val="48"/>
                                    <w:szCs w:val="48"/>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13688180" w14:textId="3DDF36BA" w:rsidR="00807A75" w:rsidRPr="00F46A25" w:rsidRDefault="00807A75">
                                    <w:pPr>
                                      <w:spacing w:line="240" w:lineRule="auto"/>
                                      <w:rPr>
                                        <w:rFonts w:asciiTheme="majorHAnsi" w:eastAsiaTheme="majorEastAsia" w:hAnsiTheme="majorHAnsi" w:cstheme="majorBidi"/>
                                        <w:noProof/>
                                        <w:color w:val="4472C4" w:themeColor="accent1"/>
                                        <w:sz w:val="48"/>
                                        <w:szCs w:val="48"/>
                                      </w:rPr>
                                    </w:pPr>
                                    <w:r w:rsidRPr="00F46A25">
                                      <w:rPr>
                                        <w:rFonts w:asciiTheme="majorHAnsi" w:eastAsiaTheme="majorEastAsia" w:hAnsiTheme="majorHAnsi" w:cstheme="majorBidi"/>
                                        <w:noProof/>
                                        <w:color w:val="4472C4" w:themeColor="accent1"/>
                                        <w:sz w:val="48"/>
                                        <w:szCs w:val="48"/>
                                      </w:rPr>
                                      <w:t xml:space="preserve">Cerințe contextuale ale </w:t>
                                    </w:r>
                                    <w:r w:rsidR="00EF2ED4" w:rsidRPr="00F46A25">
                                      <w:rPr>
                                        <w:rFonts w:asciiTheme="majorHAnsi" w:eastAsiaTheme="majorEastAsia" w:hAnsiTheme="majorHAnsi" w:cstheme="majorBidi"/>
                                        <w:noProof/>
                                        <w:color w:val="4472C4" w:themeColor="accent1"/>
                                        <w:sz w:val="48"/>
                                        <w:szCs w:val="48"/>
                                      </w:rPr>
                                      <w:t>societății Centrul Agro Transilvania Cluj SA</w:t>
                                    </w:r>
                                  </w:p>
                                </w:sdtContent>
                              </w:sdt>
                              <w:sdt>
                                <w:sdtPr>
                                  <w:rPr>
                                    <w:rFonts w:asciiTheme="majorHAnsi" w:eastAsiaTheme="majorEastAsia" w:hAnsiTheme="majorHAnsi" w:cstheme="majorBidi"/>
                                    <w:noProof/>
                                    <w:color w:val="44546A" w:themeColor="text2"/>
                                    <w:sz w:val="32"/>
                                    <w:szCs w:val="32"/>
                                  </w:rPr>
                                  <w:alias w:val="Subtitle"/>
                                  <w:id w:val="15524255"/>
                                  <w:showingPlcHdr/>
                                  <w:dataBinding w:prefixMappings="xmlns:ns0='http://schemas.openxmlformats.org/package/2006/metadata/core-properties' xmlns:ns1='http://purl.org/dc/elements/1.1/'" w:xpath="/ns0:coreProperties[1]/ns1:subject[1]" w:storeItemID="{6C3C8BC8-F283-45AE-878A-BAB7291924A1}"/>
                                  <w:text/>
                                </w:sdtPr>
                                <w:sdtContent>
                                  <w:p w14:paraId="2B3CD229" w14:textId="3A0798B1" w:rsidR="00807A75" w:rsidRDefault="00F46A25">
                                    <w:pPr>
                                      <w:rPr>
                                        <w:rFonts w:asciiTheme="majorHAnsi" w:eastAsiaTheme="majorEastAsia" w:hAnsiTheme="majorHAnsi" w:cstheme="majorBidi"/>
                                        <w:noProof/>
                                        <w:color w:val="44546A" w:themeColor="text2"/>
                                        <w:sz w:val="32"/>
                                        <w:szCs w:val="40"/>
                                      </w:rPr>
                                    </w:pPr>
                                    <w:r>
                                      <w:rPr>
                                        <w:rFonts w:asciiTheme="majorHAnsi" w:eastAsiaTheme="majorEastAsia" w:hAnsiTheme="majorHAnsi" w:cstheme="majorBidi"/>
                                        <w:noProof/>
                                        <w:color w:val="44546A" w:themeColor="text2"/>
                                        <w:sz w:val="32"/>
                                        <w:szCs w:val="32"/>
                                      </w:rPr>
                                      <w:t xml:space="preserve">     </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 w14:anchorId="35F8CA00" id="Text Box 84" o:spid="_x0000_s1029" type="#_x0000_t202" style="position:absolute;margin-left:0;margin-top:0;width:220.3pt;height:194.9pt;z-index:25166131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" filled="f" stroked="f" strokeweight=".5pt">
                    <v:textbox style="mso-fit-shape-to-text:t">
                      <w:txbxContent>
                        <w:sdt>
                          <w:sdtPr>
                            <w:rPr>
                              <w:rFonts w:asciiTheme="majorHAnsi" w:eastAsiaTheme="majorEastAsia" w:hAnsiTheme="majorHAnsi" w:cstheme="majorBidi"/>
                              <w:noProof/>
                              <w:color w:val="4472C4" w:themeColor="accent1"/>
                              <w:sz w:val="48"/>
                              <w:szCs w:val="48"/>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13688180" w14:textId="3DDF36BA" w:rsidR="00807A75" w:rsidRPr="00F46A25" w:rsidRDefault="00807A75">
                              <w:pPr>
                                <w:spacing w:line="240" w:lineRule="auto"/>
                                <w:rPr>
                                  <w:rFonts w:asciiTheme="majorHAnsi" w:eastAsiaTheme="majorEastAsia" w:hAnsiTheme="majorHAnsi" w:cstheme="majorBidi"/>
                                  <w:noProof/>
                                  <w:color w:val="4472C4" w:themeColor="accent1"/>
                                  <w:sz w:val="48"/>
                                  <w:szCs w:val="48"/>
                                </w:rPr>
                              </w:pPr>
                              <w:r w:rsidRPr="00F46A25">
                                <w:rPr>
                                  <w:rFonts w:asciiTheme="majorHAnsi" w:eastAsiaTheme="majorEastAsia" w:hAnsiTheme="majorHAnsi" w:cstheme="majorBidi"/>
                                  <w:noProof/>
                                  <w:color w:val="4472C4" w:themeColor="accent1"/>
                                  <w:sz w:val="48"/>
                                  <w:szCs w:val="48"/>
                                </w:rPr>
                                <w:t xml:space="preserve">Cerințe contextuale ale </w:t>
                              </w:r>
                              <w:r w:rsidR="00EF2ED4" w:rsidRPr="00F46A25">
                                <w:rPr>
                                  <w:rFonts w:asciiTheme="majorHAnsi" w:eastAsiaTheme="majorEastAsia" w:hAnsiTheme="majorHAnsi" w:cstheme="majorBidi"/>
                                  <w:noProof/>
                                  <w:color w:val="4472C4" w:themeColor="accent1"/>
                                  <w:sz w:val="48"/>
                                  <w:szCs w:val="48"/>
                                </w:rPr>
                                <w:t>societății Centrul Agro Transilvania Cluj SA</w:t>
                              </w:r>
                            </w:p>
                          </w:sdtContent>
                        </w:sdt>
                        <w:sdt>
                          <w:sdtPr>
                            <w:rPr>
                              <w:rFonts w:asciiTheme="majorHAnsi" w:eastAsiaTheme="majorEastAsia" w:hAnsiTheme="majorHAnsi" w:cstheme="majorBidi"/>
                              <w:noProof/>
                              <w:color w:val="44546A" w:themeColor="text2"/>
                              <w:sz w:val="32"/>
                              <w:szCs w:val="32"/>
                            </w:rPr>
                            <w:alias w:val="Subtitle"/>
                            <w:id w:val="15524255"/>
                            <w:showingPlcHdr/>
                            <w:dataBinding w:prefixMappings="xmlns:ns0='http://schemas.openxmlformats.org/package/2006/metadata/core-properties' xmlns:ns1='http://purl.org/dc/elements/1.1/'" w:xpath="/ns0:coreProperties[1]/ns1:subject[1]" w:storeItemID="{6C3C8BC8-F283-45AE-878A-BAB7291924A1}"/>
                            <w:text/>
                          </w:sdtPr>
                          <w:sdtContent>
                            <w:p w14:paraId="2B3CD229" w14:textId="3A0798B1" w:rsidR="00807A75" w:rsidRDefault="00F46A25">
                              <w:pPr>
                                <w:rPr>
                                  <w:rFonts w:asciiTheme="majorHAnsi" w:eastAsiaTheme="majorEastAsia" w:hAnsiTheme="majorHAnsi" w:cstheme="majorBidi"/>
                                  <w:noProof/>
                                  <w:color w:val="44546A" w:themeColor="text2"/>
                                  <w:sz w:val="32"/>
                                  <w:szCs w:val="40"/>
                                </w:rPr>
                              </w:pPr>
                              <w:r>
                                <w:rPr>
                                  <w:rFonts w:asciiTheme="majorHAnsi" w:eastAsiaTheme="majorEastAsia" w:hAnsiTheme="majorHAnsi" w:cstheme="majorBidi"/>
                                  <w:noProof/>
                                  <w:color w:val="44546A" w:themeColor="text2"/>
                                  <w:sz w:val="32"/>
                                  <w:szCs w:val="32"/>
                                </w:rPr>
                                <w:t xml:space="preserve">     </w:t>
                              </w:r>
                            </w:p>
                          </w:sdtContent>
                        </w:sdt>
                      </w:txbxContent>
                    </v:textbox>
                    <w10:wrap type="square" anchorx="page" anchory="page"/>
                  </v:shape>
                </w:pict>
              </mc:Fallback>
            </mc:AlternateContent>
          </w:r>
        </w:p>
        <w:p w14:paraId="076E0CD9" w14:textId="71E8D8F0" w:rsidR="009D1101" w:rsidRDefault="00807A75" w:rsidP="00520D12">
          <w:pPr>
            <w:spacing w:after="160" w:line="259" w:lineRule="auto"/>
          </w:pPr>
          <w:r>
            <w:br w:type="page"/>
          </w:r>
        </w:p>
      </w:sdtContent>
    </w:sdt>
    <w:p w14:paraId="72F1E8F4" w14:textId="3A098AEC" w:rsidR="00807A75" w:rsidRDefault="0036143E" w:rsidP="00175816">
      <w:pPr>
        <w:spacing w:after="0" w:line="240" w:lineRule="auto"/>
        <w:jc w:val="both"/>
      </w:pPr>
      <w:r>
        <w:lastRenderedPageBreak/>
        <w:t xml:space="preserve">Contextul actual al </w:t>
      </w:r>
      <w:r w:rsidR="00EF2ED4">
        <w:t>Centrului Agro Transilvania Cluj S.A.</w:t>
      </w:r>
      <w:r>
        <w:t xml:space="preserve"> este potențat de </w:t>
      </w:r>
      <w:r w:rsidR="00D058F6">
        <w:t xml:space="preserve">acei factori care-i determină performanța actuală și stadiul actual de dezvoltare, care </w:t>
      </w:r>
      <w:r w:rsidR="00B71273">
        <w:t>este probabil</w:t>
      </w:r>
      <w:r w:rsidR="00D058F6">
        <w:t xml:space="preserve"> să impacteze semnificativ operațiunile, dezvoltarea și performanța viitoare și pe care viitorii administratori </w:t>
      </w:r>
      <w:r w:rsidR="00B71273">
        <w:t xml:space="preserve">și directori </w:t>
      </w:r>
      <w:r w:rsidR="00C65D9F">
        <w:t xml:space="preserve">vor trebui să-i ia în </w:t>
      </w:r>
      <w:r w:rsidR="00D058F6">
        <w:t xml:space="preserve">considerare în </w:t>
      </w:r>
      <w:r w:rsidR="00AC20B6">
        <w:t>plani</w:t>
      </w:r>
      <w:r w:rsidR="00B71273">
        <w:t>f</w:t>
      </w:r>
      <w:r w:rsidR="00AC20B6">
        <w:t xml:space="preserve">icarea și abordarea viitorului mandat. Dintre aceștia, considerăm că cel mai mare impact îl vor avea </w:t>
      </w:r>
      <w:r w:rsidR="00853AAF">
        <w:t>următoarele</w:t>
      </w:r>
      <w:r>
        <w:t xml:space="preserve"> circumstanțe:</w:t>
      </w:r>
    </w:p>
    <w:p w14:paraId="4D837D8B" w14:textId="298EFF90" w:rsidR="0036143E" w:rsidRPr="00903F2F" w:rsidRDefault="0036143E" w:rsidP="00175816">
      <w:pPr>
        <w:pStyle w:val="ListParagraph"/>
        <w:numPr>
          <w:ilvl w:val="0"/>
          <w:numId w:val="1"/>
        </w:numPr>
        <w:spacing w:after="0" w:line="240" w:lineRule="auto"/>
        <w:jc w:val="both"/>
        <w:rPr>
          <w:b/>
          <w:bCs/>
        </w:rPr>
      </w:pPr>
      <w:r w:rsidRPr="00903F2F">
        <w:rPr>
          <w:b/>
          <w:bCs/>
        </w:rPr>
        <w:t>Interne</w:t>
      </w:r>
      <w:r w:rsidR="00AC20B6" w:rsidRPr="00903F2F">
        <w:rPr>
          <w:b/>
          <w:bCs/>
        </w:rPr>
        <w:t>:</w:t>
      </w:r>
    </w:p>
    <w:p w14:paraId="6A3D86B5" w14:textId="47DCF405" w:rsidR="00DD58EE" w:rsidRPr="00DD58EE" w:rsidRDefault="0036143E" w:rsidP="00175816">
      <w:pPr>
        <w:pStyle w:val="ListParagraph"/>
        <w:numPr>
          <w:ilvl w:val="1"/>
          <w:numId w:val="1"/>
        </w:numPr>
        <w:spacing w:after="0" w:line="240" w:lineRule="auto"/>
        <w:ind w:left="360"/>
        <w:jc w:val="both"/>
      </w:pPr>
      <w:r w:rsidRPr="00903F2F">
        <w:rPr>
          <w:u w:val="single"/>
        </w:rPr>
        <w:t>Structura de organizare</w:t>
      </w:r>
      <w:r w:rsidR="00EF2ED4" w:rsidRPr="00903F2F">
        <w:t xml:space="preserve">: </w:t>
      </w:r>
      <w:r w:rsidR="004A34ED" w:rsidRPr="004A34ED">
        <w:t>este una de tip ierarhic-funcțional</w:t>
      </w:r>
      <w:r w:rsidR="004A34ED">
        <w:t xml:space="preserve">, organizată ca </w:t>
      </w:r>
      <w:r w:rsidR="00EF2ED4" w:rsidRPr="00EF2ED4">
        <w:t xml:space="preserve">societate pe acțiuni, administrată în sistem unitar, guvernată de Adunarea Generală a Acționarilor </w:t>
      </w:r>
      <w:r w:rsidR="00DD58EE">
        <w:t>(</w:t>
      </w:r>
      <w:r w:rsidR="00DD58EE" w:rsidRPr="00DD58EE">
        <w:t>un număr de 7 acționari</w:t>
      </w:r>
      <w:r w:rsidR="00DD58EE">
        <w:t xml:space="preserve">) </w:t>
      </w:r>
      <w:r w:rsidR="00EF2ED4" w:rsidRPr="00EF2ED4">
        <w:t>și Consiliul de Administrație</w:t>
      </w:r>
      <w:r w:rsidR="00DD58EE" w:rsidRPr="00DD58EE">
        <w:t xml:space="preserve"> </w:t>
      </w:r>
      <w:r w:rsidR="00DD58EE">
        <w:t>având</w:t>
      </w:r>
      <w:r w:rsidR="00DD58EE" w:rsidRPr="00DD58EE">
        <w:t xml:space="preserve"> un număr total de 31 de </w:t>
      </w:r>
      <w:r w:rsidR="00DD58EE">
        <w:t>posturi</w:t>
      </w:r>
      <w:r w:rsidR="00DD58EE" w:rsidRPr="00DD58EE">
        <w:t xml:space="preserve">, dintre care 2 fac parte din structura de conducere. </w:t>
      </w:r>
    </w:p>
    <w:p w14:paraId="78EE64F9" w14:textId="3310CC85" w:rsidR="00AC20B6" w:rsidRPr="00903F2F" w:rsidRDefault="00AC20B6" w:rsidP="00903F2F">
      <w:pPr>
        <w:pStyle w:val="ListParagraph"/>
        <w:numPr>
          <w:ilvl w:val="1"/>
          <w:numId w:val="1"/>
        </w:numPr>
        <w:spacing w:after="0" w:line="240" w:lineRule="auto"/>
        <w:ind w:left="360"/>
        <w:jc w:val="both"/>
      </w:pPr>
      <w:r w:rsidRPr="00903F2F">
        <w:rPr>
          <w:u w:val="single"/>
        </w:rPr>
        <w:t>Starea economică</w:t>
      </w:r>
      <w:r w:rsidR="00B71273" w:rsidRPr="00903F2F">
        <w:rPr>
          <w:u w:val="single"/>
        </w:rPr>
        <w:t>/financiară</w:t>
      </w:r>
      <w:r w:rsidRPr="00903F2F">
        <w:rPr>
          <w:u w:val="single"/>
        </w:rPr>
        <w:t xml:space="preserve"> a companiei</w:t>
      </w:r>
      <w:r w:rsidR="00EF2ED4" w:rsidRPr="00903F2F">
        <w:t xml:space="preserve">: </w:t>
      </w:r>
    </w:p>
    <w:p w14:paraId="4F4EAEE2" w14:textId="77777777" w:rsidR="00EF2ED4" w:rsidRPr="00604D5E" w:rsidRDefault="00EF2ED4" w:rsidP="00903F2F">
      <w:pPr>
        <w:shd w:val="clear" w:color="auto" w:fill="FFFFFF"/>
        <w:spacing w:after="0" w:line="240" w:lineRule="auto"/>
        <w:jc w:val="both"/>
        <w:rPr>
          <w:rFonts w:eastAsia="Times New Roman" w:cstheme="minorHAnsi"/>
          <w:color w:val="0A0A0A"/>
        </w:rPr>
      </w:pPr>
      <w:r w:rsidRPr="00604D5E">
        <w:rPr>
          <w:rFonts w:eastAsia="Times New Roman" w:cstheme="minorHAnsi"/>
          <w:color w:val="0A0A0A"/>
        </w:rPr>
        <w:t>Starea economică a societății </w:t>
      </w:r>
      <w:r w:rsidRPr="00604D5E">
        <w:rPr>
          <w:rFonts w:eastAsia="Times New Roman" w:cstheme="minorHAnsi"/>
          <w:b/>
          <w:bCs/>
          <w:color w:val="0A0A0A"/>
        </w:rPr>
        <w:t>Centrul Agro Transilvania Cluj S.A.</w:t>
      </w:r>
      <w:r w:rsidRPr="00604D5E">
        <w:rPr>
          <w:rFonts w:eastAsia="Times New Roman" w:cstheme="minorHAnsi"/>
          <w:color w:val="0A0A0A"/>
        </w:rPr>
        <w:t>  este una </w:t>
      </w:r>
      <w:r w:rsidRPr="00604D5E">
        <w:rPr>
          <w:rFonts w:eastAsia="Times New Roman" w:cstheme="minorHAnsi"/>
          <w:b/>
          <w:bCs/>
          <w:color w:val="0A0A0A"/>
        </w:rPr>
        <w:t>solidă</w:t>
      </w:r>
      <w:r w:rsidRPr="00604D5E">
        <w:rPr>
          <w:rFonts w:eastAsia="Times New Roman" w:cstheme="minorHAnsi"/>
          <w:color w:val="0A0A0A"/>
        </w:rPr>
        <w:t>, caracterizată prin creșteri semnificative ale cifrei de afaceri și ale profitului net în anul 2024, susținută de investiții recente în modernizare.</w:t>
      </w:r>
    </w:p>
    <w:p w14:paraId="1897E387" w14:textId="77777777" w:rsidR="00EF2ED4" w:rsidRPr="00604D5E" w:rsidRDefault="00EF2ED4" w:rsidP="005F1D88">
      <w:pPr>
        <w:shd w:val="clear" w:color="auto" w:fill="FFFFFF"/>
        <w:spacing w:after="0" w:line="240" w:lineRule="auto"/>
        <w:jc w:val="both"/>
        <w:rPr>
          <w:rFonts w:eastAsia="Times New Roman" w:cstheme="minorHAnsi"/>
          <w:b/>
          <w:bCs/>
          <w:color w:val="0A0A0A"/>
        </w:rPr>
      </w:pPr>
      <w:r w:rsidRPr="00604D5E">
        <w:rPr>
          <w:rFonts w:eastAsia="Times New Roman" w:cstheme="minorHAnsi"/>
          <w:b/>
          <w:bCs/>
          <w:color w:val="0A0A0A"/>
        </w:rPr>
        <w:t>Indicatori Financiari Cheie (2024)</w:t>
      </w:r>
    </w:p>
    <w:p w14:paraId="16007A34" w14:textId="77777777" w:rsidR="00EF2ED4" w:rsidRPr="00604D5E" w:rsidRDefault="00EF2ED4" w:rsidP="005F1D88">
      <w:pPr>
        <w:shd w:val="clear" w:color="auto" w:fill="FFFFFF"/>
        <w:spacing w:after="0" w:line="240" w:lineRule="auto"/>
        <w:jc w:val="both"/>
        <w:rPr>
          <w:rFonts w:eastAsia="Times New Roman" w:cstheme="minorHAnsi"/>
          <w:color w:val="0A0A0A"/>
        </w:rPr>
      </w:pPr>
      <w:r w:rsidRPr="00604D5E">
        <w:rPr>
          <w:rFonts w:eastAsia="Times New Roman" w:cstheme="minorHAnsi"/>
          <w:color w:val="0A0A0A"/>
        </w:rPr>
        <w:t>Conform datelor financiare recente, compania a înregistrat o performanță superioară față de exercițiul anterior: </w:t>
      </w:r>
    </w:p>
    <w:p w14:paraId="2B5CCD4C" w14:textId="5E637630" w:rsidR="00EF2ED4" w:rsidRPr="00604D5E" w:rsidRDefault="00EF2ED4" w:rsidP="005F1D88">
      <w:pPr>
        <w:numPr>
          <w:ilvl w:val="0"/>
          <w:numId w:val="1"/>
        </w:numPr>
        <w:shd w:val="clear" w:color="auto" w:fill="FFFFFF"/>
        <w:spacing w:after="0" w:line="240" w:lineRule="auto"/>
        <w:jc w:val="both"/>
        <w:rPr>
          <w:rFonts w:eastAsia="Times New Roman" w:cstheme="minorHAnsi"/>
          <w:color w:val="0A0A0A"/>
        </w:rPr>
      </w:pPr>
      <w:r w:rsidRPr="00604D5E">
        <w:rPr>
          <w:rFonts w:eastAsia="Times New Roman" w:cstheme="minorHAnsi"/>
          <w:b/>
          <w:bCs/>
          <w:color w:val="0A0A0A"/>
        </w:rPr>
        <w:t>Cifra de Afaceri</w:t>
      </w:r>
      <w:r w:rsidRPr="00604D5E">
        <w:rPr>
          <w:rFonts w:eastAsia="Times New Roman" w:cstheme="minorHAnsi"/>
          <w:color w:val="0A0A0A"/>
        </w:rPr>
        <w:t>: 7.013.335 RON (o creștere de </w:t>
      </w:r>
      <w:r w:rsidRPr="00604D5E">
        <w:rPr>
          <w:rFonts w:eastAsia="Times New Roman" w:cstheme="minorHAnsi"/>
          <w:b/>
          <w:bCs/>
          <w:color w:val="0A0A0A"/>
        </w:rPr>
        <w:t>12,2%</w:t>
      </w:r>
      <w:r w:rsidRPr="00604D5E">
        <w:rPr>
          <w:rFonts w:eastAsia="Times New Roman" w:cstheme="minorHAnsi"/>
          <w:color w:val="0A0A0A"/>
        </w:rPr>
        <w:t> față de 2023).</w:t>
      </w:r>
    </w:p>
    <w:p w14:paraId="223C9D20" w14:textId="77777777" w:rsidR="00EF2ED4" w:rsidRPr="00604D5E" w:rsidRDefault="00EF2ED4" w:rsidP="005F1D88">
      <w:pPr>
        <w:numPr>
          <w:ilvl w:val="0"/>
          <w:numId w:val="1"/>
        </w:numPr>
        <w:shd w:val="clear" w:color="auto" w:fill="FFFFFF"/>
        <w:spacing w:after="0" w:line="240" w:lineRule="auto"/>
        <w:jc w:val="both"/>
        <w:rPr>
          <w:rFonts w:eastAsia="Times New Roman" w:cstheme="minorHAnsi"/>
          <w:color w:val="0A0A0A"/>
        </w:rPr>
      </w:pPr>
      <w:r w:rsidRPr="00604D5E">
        <w:rPr>
          <w:rFonts w:eastAsia="Times New Roman" w:cstheme="minorHAnsi"/>
          <w:b/>
          <w:bCs/>
          <w:color w:val="0A0A0A"/>
        </w:rPr>
        <w:t>Profit Net</w:t>
      </w:r>
      <w:r w:rsidRPr="00604D5E">
        <w:rPr>
          <w:rFonts w:eastAsia="Times New Roman" w:cstheme="minorHAnsi"/>
          <w:color w:val="0A0A0A"/>
        </w:rPr>
        <w:t>: 1.962.053 RON (o creștere substanțială de </w:t>
      </w:r>
      <w:r w:rsidRPr="00604D5E">
        <w:rPr>
          <w:rFonts w:eastAsia="Times New Roman" w:cstheme="minorHAnsi"/>
          <w:b/>
          <w:bCs/>
          <w:color w:val="0A0A0A"/>
        </w:rPr>
        <w:t>45,87%</w:t>
      </w:r>
      <w:r w:rsidRPr="00604D5E">
        <w:rPr>
          <w:rFonts w:eastAsia="Times New Roman" w:cstheme="minorHAnsi"/>
          <w:color w:val="0A0A0A"/>
        </w:rPr>
        <w:t> comparativ cu anul precedent).</w:t>
      </w:r>
    </w:p>
    <w:p w14:paraId="0EB51493" w14:textId="16769CD1" w:rsidR="00AC20B6" w:rsidRPr="00604D5E" w:rsidRDefault="00AC20B6" w:rsidP="00903F2F">
      <w:pPr>
        <w:pStyle w:val="ListParagraph"/>
        <w:numPr>
          <w:ilvl w:val="1"/>
          <w:numId w:val="1"/>
        </w:numPr>
        <w:spacing w:after="0" w:line="240" w:lineRule="auto"/>
        <w:ind w:left="450"/>
      </w:pPr>
      <w:r w:rsidRPr="00604D5E">
        <w:rPr>
          <w:u w:val="single"/>
        </w:rPr>
        <w:t>Guvernanța corporativă</w:t>
      </w:r>
      <w:r w:rsidR="00B71273" w:rsidRPr="00604D5E">
        <w:rPr>
          <w:u w:val="single"/>
        </w:rPr>
        <w:t xml:space="preserve"> a companiei</w:t>
      </w:r>
      <w:r w:rsidR="00EF2ED4" w:rsidRPr="00604D5E">
        <w:t xml:space="preserve">: </w:t>
      </w:r>
    </w:p>
    <w:p w14:paraId="020F9216" w14:textId="41A6EF41" w:rsidR="005F1D88" w:rsidRPr="00604D5E" w:rsidRDefault="005F1D88" w:rsidP="00604D5E">
      <w:pPr>
        <w:numPr>
          <w:ilvl w:val="0"/>
          <w:numId w:val="4"/>
        </w:numPr>
        <w:shd w:val="clear" w:color="auto" w:fill="FFFFFF"/>
        <w:spacing w:after="0" w:line="240" w:lineRule="auto"/>
        <w:jc w:val="both"/>
        <w:rPr>
          <w:rFonts w:eastAsia="Times New Roman" w:cstheme="minorHAnsi"/>
          <w:color w:val="0A0A0A"/>
        </w:rPr>
      </w:pPr>
      <w:r w:rsidRPr="00604D5E">
        <w:rPr>
          <w:rFonts w:eastAsia="Times New Roman" w:cstheme="minorHAnsi"/>
          <w:b/>
          <w:bCs/>
          <w:color w:val="0A0A0A"/>
        </w:rPr>
        <w:t>Autoritatea Tutelară</w:t>
      </w:r>
      <w:r w:rsidRPr="00604D5E">
        <w:rPr>
          <w:rFonts w:eastAsia="Times New Roman" w:cstheme="minorHAnsi"/>
          <w:color w:val="0A0A0A"/>
        </w:rPr>
        <w:t>: </w:t>
      </w:r>
      <w:hyperlink r:id="rId7" w:tgtFrame="_blank" w:history="1">
        <w:r w:rsidRPr="00604D5E">
          <w:rPr>
            <w:rFonts w:eastAsia="Times New Roman" w:cstheme="minorHAnsi"/>
          </w:rPr>
          <w:t>Consiliul Județean Cluj</w:t>
        </w:r>
      </w:hyperlink>
      <w:r w:rsidRPr="00604D5E">
        <w:rPr>
          <w:rFonts w:eastAsia="Times New Roman" w:cstheme="minorHAnsi"/>
        </w:rPr>
        <w:t> </w:t>
      </w:r>
      <w:r w:rsidRPr="00604D5E">
        <w:rPr>
          <w:rFonts w:eastAsia="Times New Roman" w:cstheme="minorHAnsi"/>
          <w:color w:val="0A0A0A"/>
        </w:rPr>
        <w:t>este acționarul majoritar (deținând 55% din acțiuni).</w:t>
      </w:r>
    </w:p>
    <w:p w14:paraId="22CD336F" w14:textId="5300D027" w:rsidR="00175816" w:rsidRDefault="005F1D88" w:rsidP="00175816">
      <w:pPr>
        <w:numPr>
          <w:ilvl w:val="0"/>
          <w:numId w:val="4"/>
        </w:numPr>
        <w:shd w:val="clear" w:color="auto" w:fill="FFFFFF"/>
        <w:spacing w:after="0" w:line="240" w:lineRule="auto"/>
        <w:jc w:val="both"/>
        <w:rPr>
          <w:rFonts w:eastAsia="Times New Roman" w:cstheme="minorHAnsi"/>
          <w:color w:val="0A0A0A"/>
        </w:rPr>
      </w:pPr>
      <w:r w:rsidRPr="00604D5E">
        <w:rPr>
          <w:rFonts w:eastAsia="Times New Roman" w:cstheme="minorHAnsi"/>
          <w:b/>
          <w:bCs/>
          <w:color w:val="0A0A0A"/>
        </w:rPr>
        <w:t>Consiliul de Administrație (CA)</w:t>
      </w:r>
      <w:r w:rsidR="00350BE4">
        <w:rPr>
          <w:rFonts w:eastAsia="Times New Roman" w:cstheme="minorHAnsi"/>
          <w:color w:val="0A0A0A"/>
        </w:rPr>
        <w:t>: Este format</w:t>
      </w:r>
      <w:r w:rsidRPr="00604D5E">
        <w:rPr>
          <w:rFonts w:eastAsia="Times New Roman" w:cstheme="minorHAnsi"/>
          <w:color w:val="0A0A0A"/>
        </w:rPr>
        <w:t xml:space="preserve"> actualmente din </w:t>
      </w:r>
      <w:r w:rsidRPr="00604D5E">
        <w:rPr>
          <w:rFonts w:eastAsia="Times New Roman" w:cstheme="minorHAnsi"/>
          <w:b/>
          <w:bCs/>
          <w:color w:val="0A0A0A"/>
        </w:rPr>
        <w:t>7 membri</w:t>
      </w:r>
      <w:r w:rsidRPr="00604D5E">
        <w:rPr>
          <w:rFonts w:eastAsia="Times New Roman" w:cstheme="minorHAnsi"/>
          <w:color w:val="0A0A0A"/>
        </w:rPr>
        <w:t xml:space="preserve">. </w:t>
      </w:r>
    </w:p>
    <w:p w14:paraId="12A96005" w14:textId="7C214125" w:rsidR="005F1D88" w:rsidRPr="00175816" w:rsidRDefault="005F1D88" w:rsidP="00175816">
      <w:pPr>
        <w:numPr>
          <w:ilvl w:val="0"/>
          <w:numId w:val="4"/>
        </w:numPr>
        <w:shd w:val="clear" w:color="auto" w:fill="FFFFFF"/>
        <w:spacing w:after="0" w:line="240" w:lineRule="auto"/>
        <w:jc w:val="both"/>
        <w:rPr>
          <w:rFonts w:eastAsia="Times New Roman" w:cstheme="minorHAnsi"/>
          <w:color w:val="0A0A0A"/>
        </w:rPr>
      </w:pPr>
      <w:r w:rsidRPr="00175816">
        <w:rPr>
          <w:rFonts w:eastAsia="Times New Roman" w:cstheme="minorHAnsi"/>
          <w:b/>
          <w:bCs/>
          <w:color w:val="0A0A0A"/>
        </w:rPr>
        <w:t>Conducerea Executivă</w:t>
      </w:r>
      <w:r w:rsidRPr="00175816">
        <w:rPr>
          <w:rFonts w:eastAsia="Times New Roman" w:cstheme="minorHAnsi"/>
          <w:color w:val="0A0A0A"/>
        </w:rPr>
        <w:t>:</w:t>
      </w:r>
      <w:r w:rsidR="00175816" w:rsidRPr="00175816">
        <w:rPr>
          <w:rFonts w:eastAsia="Times New Roman" w:cstheme="minorHAnsi"/>
          <w:color w:val="0A0A0A"/>
        </w:rPr>
        <w:t xml:space="preserve"> </w:t>
      </w:r>
      <w:r w:rsidRPr="00175816">
        <w:rPr>
          <w:rFonts w:eastAsia="Times New Roman" w:cstheme="minorHAnsi"/>
          <w:color w:val="0A0A0A"/>
        </w:rPr>
        <w:t>Director General</w:t>
      </w:r>
      <w:r w:rsidR="00175816" w:rsidRPr="00175816">
        <w:rPr>
          <w:rFonts w:eastAsia="Times New Roman" w:cstheme="minorHAnsi"/>
          <w:color w:val="0A0A0A"/>
        </w:rPr>
        <w:t xml:space="preserve">, </w:t>
      </w:r>
      <w:r w:rsidR="00DD58EE" w:rsidRPr="00175816">
        <w:rPr>
          <w:rFonts w:eastAsia="Times New Roman" w:cstheme="minorHAnsi"/>
          <w:color w:val="0A0A0A"/>
        </w:rPr>
        <w:t>Director Dezvoltare Afacere în Domeniul Agroalimentar</w:t>
      </w:r>
    </w:p>
    <w:p w14:paraId="10A1A259" w14:textId="77777777" w:rsidR="003263E0" w:rsidRPr="003263E0" w:rsidRDefault="003263E0" w:rsidP="00604D5E">
      <w:pPr>
        <w:spacing w:after="0" w:line="240" w:lineRule="auto"/>
        <w:jc w:val="both"/>
        <w:rPr>
          <w:rFonts w:cstheme="minorHAnsi"/>
          <w:b/>
          <w:bCs/>
        </w:rPr>
      </w:pPr>
      <w:r w:rsidRPr="003263E0">
        <w:rPr>
          <w:rFonts w:cstheme="minorHAnsi"/>
          <w:b/>
          <w:bCs/>
        </w:rPr>
        <w:t>Transparență și Monitorizare</w:t>
      </w:r>
    </w:p>
    <w:p w14:paraId="23DDFC63" w14:textId="66112023" w:rsidR="003263E0" w:rsidRPr="003263E0" w:rsidRDefault="003263E0" w:rsidP="00604D5E">
      <w:pPr>
        <w:spacing w:after="0" w:line="240" w:lineRule="auto"/>
        <w:jc w:val="both"/>
        <w:rPr>
          <w:rFonts w:cstheme="minorHAnsi"/>
        </w:rPr>
      </w:pPr>
      <w:r w:rsidRPr="003263E0">
        <w:rPr>
          <w:rFonts w:cstheme="minorHAnsi"/>
          <w:b/>
          <w:bCs/>
        </w:rPr>
        <w:t>Raportare:</w:t>
      </w:r>
      <w:r w:rsidRPr="003263E0">
        <w:rPr>
          <w:rFonts w:cstheme="minorHAnsi"/>
        </w:rPr>
        <w:t xml:space="preserve"> Societatea </w:t>
      </w:r>
      <w:r w:rsidR="004A34ED">
        <w:rPr>
          <w:rFonts w:cstheme="minorHAnsi"/>
        </w:rPr>
        <w:t>respectă cerințele privind obligațiile legate de transparență precum și cele de raportare</w:t>
      </w:r>
      <w:r w:rsidRPr="003263E0">
        <w:rPr>
          <w:rFonts w:cstheme="minorHAnsi"/>
        </w:rPr>
        <w:t>.</w:t>
      </w:r>
    </w:p>
    <w:p w14:paraId="27A60A37" w14:textId="3FB869B6" w:rsidR="003263E0" w:rsidRDefault="003263E0" w:rsidP="00604D5E">
      <w:pPr>
        <w:spacing w:after="0" w:line="240" w:lineRule="auto"/>
        <w:jc w:val="both"/>
        <w:rPr>
          <w:rFonts w:cstheme="minorHAnsi"/>
        </w:rPr>
      </w:pPr>
      <w:r w:rsidRPr="003263E0">
        <w:rPr>
          <w:rFonts w:cstheme="minorHAnsi"/>
          <w:b/>
          <w:bCs/>
        </w:rPr>
        <w:t>Selecție:</w:t>
      </w:r>
      <w:r w:rsidRPr="003263E0">
        <w:rPr>
          <w:rFonts w:cstheme="minorHAnsi"/>
        </w:rPr>
        <w:t xml:space="preserve"> Procesul de numire a membrilor CA se realizează </w:t>
      </w:r>
      <w:r w:rsidR="004A34ED">
        <w:rPr>
          <w:rFonts w:cstheme="minorHAnsi"/>
        </w:rPr>
        <w:t>în conformitate cu dispozițiile legale.</w:t>
      </w:r>
    </w:p>
    <w:p w14:paraId="40167DED" w14:textId="77777777" w:rsidR="003263E0" w:rsidRDefault="003263E0" w:rsidP="003263E0">
      <w:pPr>
        <w:spacing w:after="0" w:line="240" w:lineRule="auto"/>
        <w:rPr>
          <w:rFonts w:cstheme="minorHAnsi"/>
        </w:rPr>
      </w:pPr>
    </w:p>
    <w:p w14:paraId="433213C2" w14:textId="27E2BA6C" w:rsidR="00E170E1" w:rsidRPr="00716340" w:rsidRDefault="0036143E" w:rsidP="00221522">
      <w:pPr>
        <w:pStyle w:val="ListParagraph"/>
        <w:numPr>
          <w:ilvl w:val="0"/>
          <w:numId w:val="40"/>
        </w:numPr>
        <w:spacing w:after="0" w:line="240" w:lineRule="auto"/>
        <w:ind w:left="360"/>
        <w:rPr>
          <w:u w:val="single"/>
        </w:rPr>
      </w:pPr>
      <w:r w:rsidRPr="00716340">
        <w:rPr>
          <w:u w:val="single"/>
        </w:rPr>
        <w:t>Sistemele</w:t>
      </w:r>
      <w:r w:rsidR="00B71273" w:rsidRPr="00716340">
        <w:rPr>
          <w:u w:val="single"/>
        </w:rPr>
        <w:t>/tool-urile</w:t>
      </w:r>
      <w:r w:rsidRPr="00716340">
        <w:rPr>
          <w:u w:val="single"/>
        </w:rPr>
        <w:t xml:space="preserve"> de management implementate/neimplementate </w:t>
      </w:r>
    </w:p>
    <w:p w14:paraId="6948ED33" w14:textId="2D87A5AC" w:rsidR="00E170E1" w:rsidRPr="00716340" w:rsidRDefault="0036143E" w:rsidP="00716340">
      <w:pPr>
        <w:pStyle w:val="ListParagraph"/>
        <w:numPr>
          <w:ilvl w:val="2"/>
          <w:numId w:val="1"/>
        </w:numPr>
        <w:ind w:left="720"/>
      </w:pPr>
      <w:r w:rsidRPr="00716340">
        <w:t>managementul performanței</w:t>
      </w:r>
      <w:r w:rsidR="005C48BE" w:rsidRPr="00716340">
        <w:t xml:space="preserve"> – în cadrul SCM și Plan de administrare</w:t>
      </w:r>
      <w:r w:rsidRPr="00716340">
        <w:t xml:space="preserve">, </w:t>
      </w:r>
    </w:p>
    <w:p w14:paraId="4937FBC2" w14:textId="3FED152E" w:rsidR="00E170E1" w:rsidRPr="00716340" w:rsidRDefault="00716340" w:rsidP="00716340">
      <w:pPr>
        <w:pStyle w:val="ListParagraph"/>
        <w:numPr>
          <w:ilvl w:val="2"/>
          <w:numId w:val="1"/>
        </w:numPr>
        <w:ind w:left="720"/>
      </w:pPr>
      <w:r w:rsidRPr="00716340">
        <w:t>managementul</w:t>
      </w:r>
      <w:r w:rsidR="00E170E1" w:rsidRPr="00716340">
        <w:t xml:space="preserve"> riscurilor</w:t>
      </w:r>
      <w:r w:rsidR="005C48BE" w:rsidRPr="00716340">
        <w:t xml:space="preserve"> - în cadrul SCM și Plan de administrare</w:t>
      </w:r>
      <w:r w:rsidR="003D6A6E">
        <w:t>.</w:t>
      </w:r>
      <w:r w:rsidR="00E170E1" w:rsidRPr="00716340">
        <w:t xml:space="preserve"> </w:t>
      </w:r>
    </w:p>
    <w:p w14:paraId="6D355CA6" w14:textId="5C732483" w:rsidR="00E170E1" w:rsidRPr="00716340" w:rsidRDefault="00E170E1" w:rsidP="00716340">
      <w:pPr>
        <w:pStyle w:val="ListParagraph"/>
        <w:numPr>
          <w:ilvl w:val="1"/>
          <w:numId w:val="1"/>
        </w:numPr>
        <w:ind w:left="360"/>
      </w:pPr>
      <w:r w:rsidRPr="00716340">
        <w:rPr>
          <w:u w:val="single"/>
        </w:rPr>
        <w:t>Gradul de digitalizare</w:t>
      </w:r>
      <w:r w:rsidR="00066AEA" w:rsidRPr="00716340">
        <w:t xml:space="preserve"> – in curs de imple</w:t>
      </w:r>
      <w:r w:rsidR="005C48BE" w:rsidRPr="00716340">
        <w:t>me</w:t>
      </w:r>
      <w:r w:rsidR="00066AEA" w:rsidRPr="00716340">
        <w:t>ntare a modului de contractare online</w:t>
      </w:r>
      <w:r w:rsidR="003D6A6E">
        <w:t>.</w:t>
      </w:r>
    </w:p>
    <w:p w14:paraId="0865A2D1" w14:textId="55078C63" w:rsidR="00E170E1" w:rsidRDefault="00E170E1" w:rsidP="00E170E1">
      <w:pPr>
        <w:pStyle w:val="ListParagraph"/>
        <w:numPr>
          <w:ilvl w:val="0"/>
          <w:numId w:val="1"/>
        </w:numPr>
      </w:pPr>
      <w:r>
        <w:t>Externe:</w:t>
      </w:r>
    </w:p>
    <w:p w14:paraId="598B8EDC" w14:textId="02886A85" w:rsidR="00E170E1" w:rsidRPr="00716340" w:rsidRDefault="00E170E1" w:rsidP="00903F2F">
      <w:pPr>
        <w:pStyle w:val="ListParagraph"/>
        <w:numPr>
          <w:ilvl w:val="1"/>
          <w:numId w:val="1"/>
        </w:numPr>
        <w:spacing w:after="0" w:line="240" w:lineRule="auto"/>
        <w:ind w:left="360"/>
        <w:rPr>
          <w:rFonts w:cstheme="minorHAnsi"/>
          <w:u w:val="single"/>
        </w:rPr>
      </w:pPr>
      <w:r w:rsidRPr="00716340">
        <w:rPr>
          <w:rFonts w:cstheme="minorHAnsi"/>
          <w:u w:val="single"/>
        </w:rPr>
        <w:t>Piețele tintă pe care compania este prezen</w:t>
      </w:r>
      <w:r w:rsidR="00B71273" w:rsidRPr="00716340">
        <w:rPr>
          <w:rFonts w:cstheme="minorHAnsi"/>
          <w:u w:val="single"/>
        </w:rPr>
        <w:t>t</w:t>
      </w:r>
      <w:r w:rsidR="00520D12" w:rsidRPr="00716340">
        <w:rPr>
          <w:rFonts w:cstheme="minorHAnsi"/>
          <w:u w:val="single"/>
        </w:rPr>
        <w:t>ă sau/și pe care doreș</w:t>
      </w:r>
      <w:r w:rsidRPr="00716340">
        <w:rPr>
          <w:rFonts w:cstheme="minorHAnsi"/>
          <w:u w:val="single"/>
        </w:rPr>
        <w:t>te să le atace</w:t>
      </w:r>
    </w:p>
    <w:p w14:paraId="3098C7D7" w14:textId="0D82A3C0" w:rsidR="004A34ED" w:rsidRPr="00716340" w:rsidRDefault="004A34ED" w:rsidP="00A05D42">
      <w:pPr>
        <w:shd w:val="clear" w:color="auto" w:fill="FFFFFF"/>
        <w:spacing w:after="0" w:line="240" w:lineRule="auto"/>
        <w:jc w:val="both"/>
        <w:rPr>
          <w:rFonts w:eastAsia="Times New Roman" w:cstheme="minorHAnsi"/>
        </w:rPr>
      </w:pPr>
      <w:r w:rsidRPr="00716340">
        <w:rPr>
          <w:rFonts w:eastAsia="Times New Roman" w:cstheme="minorHAnsi"/>
        </w:rPr>
        <w:t>Societatea își concentrează activitatea pe piața serviciilor de </w:t>
      </w:r>
      <w:r w:rsidRPr="00716340">
        <w:rPr>
          <w:rFonts w:eastAsia="Times New Roman" w:cstheme="minorHAnsi"/>
          <w:b/>
          <w:bCs/>
        </w:rPr>
        <w:t>logistică agroalimentară</w:t>
      </w:r>
      <w:r w:rsidRPr="00716340">
        <w:rPr>
          <w:rFonts w:eastAsia="Times New Roman" w:cstheme="minorHAnsi"/>
        </w:rPr>
        <w:t xml:space="preserve">, </w:t>
      </w:r>
      <w:r w:rsidR="00F56CE5" w:rsidRPr="00716340">
        <w:rPr>
          <w:rFonts w:eastAsia="Times New Roman" w:cstheme="minorHAnsi"/>
        </w:rPr>
        <w:t xml:space="preserve">fiind una dintre cele mai mari piețe de gros de legume fructe </w:t>
      </w:r>
      <w:r w:rsidR="005C48BE" w:rsidRPr="00716340">
        <w:rPr>
          <w:rFonts w:eastAsia="Times New Roman" w:cstheme="minorHAnsi"/>
        </w:rPr>
        <w:t>din Transilvania, oferind, totodată, și servicii de depozitare produse agroalimentare ( depozitarea clasică și la frig – refrigerare și congelare)</w:t>
      </w:r>
    </w:p>
    <w:p w14:paraId="12607808" w14:textId="77777777" w:rsidR="00F20139" w:rsidRPr="00716340" w:rsidRDefault="00F20139" w:rsidP="00F20139">
      <w:pPr>
        <w:spacing w:after="0" w:line="240" w:lineRule="auto"/>
        <w:jc w:val="both"/>
        <w:outlineLvl w:val="0"/>
        <w:rPr>
          <w:rFonts w:eastAsia="Times New Roman" w:cstheme="minorHAnsi"/>
          <w:b/>
          <w:bCs/>
          <w:kern w:val="36"/>
        </w:rPr>
      </w:pPr>
      <w:r w:rsidRPr="00716340">
        <w:rPr>
          <w:rFonts w:eastAsia="Times New Roman" w:cstheme="minorHAnsi"/>
          <w:b/>
          <w:bCs/>
          <w:kern w:val="36"/>
        </w:rPr>
        <w:t>1. Piețe țintă actuale</w:t>
      </w:r>
    </w:p>
    <w:p w14:paraId="19E991CB" w14:textId="38EAC3D5" w:rsidR="00F20139" w:rsidRPr="00716340" w:rsidRDefault="00F20139" w:rsidP="00F20139">
      <w:pPr>
        <w:pStyle w:val="ListParagraph"/>
        <w:numPr>
          <w:ilvl w:val="0"/>
          <w:numId w:val="35"/>
        </w:numPr>
        <w:spacing w:after="0" w:line="240" w:lineRule="auto"/>
        <w:jc w:val="both"/>
        <w:outlineLvl w:val="2"/>
        <w:rPr>
          <w:rFonts w:eastAsia="Times New Roman" w:cstheme="minorHAnsi"/>
        </w:rPr>
      </w:pPr>
      <w:r w:rsidRPr="00716340">
        <w:rPr>
          <w:rFonts w:eastAsia="Times New Roman" w:cstheme="minorHAnsi"/>
          <w:b/>
          <w:bCs/>
        </w:rPr>
        <w:t xml:space="preserve">Piața producătorilor agricoli regionali: </w:t>
      </w:r>
      <w:r w:rsidRPr="00716340">
        <w:rPr>
          <w:rFonts w:eastAsia="Times New Roman" w:cstheme="minorHAnsi"/>
        </w:rPr>
        <w:t xml:space="preserve">Centrul are ca principală sursă de aprovizionare producătorii agricoli </w:t>
      </w:r>
      <w:r w:rsidR="005C48BE" w:rsidRPr="00716340">
        <w:rPr>
          <w:rFonts w:eastAsia="Times New Roman" w:cstheme="minorHAnsi"/>
        </w:rPr>
        <w:t>din toată țara</w:t>
      </w:r>
      <w:r w:rsidRPr="00716340">
        <w:rPr>
          <w:rFonts w:eastAsia="Times New Roman" w:cstheme="minorHAnsi"/>
        </w:rPr>
        <w:t>, oferindu-le acestora infrastructura necesară pentru depozitarea și comerciali</w:t>
      </w:r>
      <w:r w:rsidR="00F56CE5" w:rsidRPr="00716340">
        <w:rPr>
          <w:rFonts w:eastAsia="Times New Roman" w:cstheme="minorHAnsi"/>
        </w:rPr>
        <w:t>zarea produselor</w:t>
      </w:r>
      <w:r w:rsidR="005C48BE" w:rsidRPr="00716340">
        <w:rPr>
          <w:rFonts w:eastAsia="Times New Roman" w:cstheme="minorHAnsi"/>
        </w:rPr>
        <w:t xml:space="preserve"> agroalimentare</w:t>
      </w:r>
    </w:p>
    <w:p w14:paraId="308AC5C7" w14:textId="77777777" w:rsidR="00F20139" w:rsidRPr="00716340" w:rsidRDefault="00F20139" w:rsidP="00F20139">
      <w:pPr>
        <w:spacing w:after="0" w:line="240" w:lineRule="auto"/>
        <w:jc w:val="both"/>
        <w:rPr>
          <w:rFonts w:eastAsia="Times New Roman" w:cstheme="minorHAnsi"/>
        </w:rPr>
      </w:pPr>
      <w:r w:rsidRPr="00716340">
        <w:rPr>
          <w:rFonts w:eastAsia="Times New Roman" w:cstheme="minorHAnsi"/>
          <w:b/>
          <w:bCs/>
        </w:rPr>
        <w:t xml:space="preserve">Segmente vizate: </w:t>
      </w:r>
      <w:r w:rsidRPr="00716340">
        <w:rPr>
          <w:rFonts w:eastAsia="Times New Roman" w:cstheme="minorHAnsi"/>
        </w:rPr>
        <w:t>producători agricoli individuali; ferme și exploatații agricole; cooperative și asociații de producători; producători de legume, fructe și alte produse agroalimentare.</w:t>
      </w:r>
    </w:p>
    <w:p w14:paraId="56D24380" w14:textId="77777777" w:rsidR="00F20139" w:rsidRPr="00716340" w:rsidRDefault="00F20139" w:rsidP="00F20139">
      <w:pPr>
        <w:spacing w:after="0" w:line="240" w:lineRule="auto"/>
        <w:jc w:val="both"/>
        <w:rPr>
          <w:rFonts w:eastAsia="Times New Roman" w:cstheme="minorHAnsi"/>
        </w:rPr>
      </w:pPr>
      <w:r w:rsidRPr="00716340">
        <w:rPr>
          <w:rFonts w:eastAsia="Times New Roman" w:cstheme="minorHAnsi"/>
          <w:b/>
          <w:bCs/>
        </w:rPr>
        <w:t xml:space="preserve">Arie geografică: </w:t>
      </w:r>
      <w:r w:rsidRPr="00716340">
        <w:rPr>
          <w:rFonts w:eastAsia="Times New Roman" w:cstheme="minorHAnsi"/>
        </w:rPr>
        <w:t>județul Cluj; județele din regiunea de Nord-Vest și Transilvania.</w:t>
      </w:r>
    </w:p>
    <w:p w14:paraId="5B746808" w14:textId="3273749D" w:rsidR="00F20139" w:rsidRPr="00716340" w:rsidRDefault="00F20139" w:rsidP="00F20139">
      <w:pPr>
        <w:pStyle w:val="ListParagraph"/>
        <w:numPr>
          <w:ilvl w:val="0"/>
          <w:numId w:val="36"/>
        </w:numPr>
        <w:spacing w:after="0" w:line="240" w:lineRule="auto"/>
        <w:jc w:val="both"/>
        <w:outlineLvl w:val="2"/>
        <w:rPr>
          <w:rFonts w:eastAsia="Times New Roman" w:cstheme="minorHAnsi"/>
        </w:rPr>
      </w:pPr>
      <w:r w:rsidRPr="00716340">
        <w:rPr>
          <w:rFonts w:eastAsia="Times New Roman" w:cstheme="minorHAnsi"/>
          <w:b/>
          <w:bCs/>
        </w:rPr>
        <w:t xml:space="preserve">Piața comercianților și distribuitorilor agroalimentari: </w:t>
      </w:r>
      <w:r w:rsidRPr="00716340">
        <w:rPr>
          <w:rFonts w:eastAsia="Times New Roman" w:cstheme="minorHAnsi"/>
        </w:rPr>
        <w:t xml:space="preserve">Centrul reprezintă o platformă de </w:t>
      </w:r>
      <w:r w:rsidR="00C86FB0" w:rsidRPr="00716340">
        <w:rPr>
          <w:rFonts w:eastAsia="Times New Roman" w:cstheme="minorHAnsi"/>
        </w:rPr>
        <w:t>depozitare și distribuție</w:t>
      </w:r>
      <w:r w:rsidRPr="00716340">
        <w:rPr>
          <w:rFonts w:eastAsia="Times New Roman" w:cstheme="minorHAnsi"/>
        </w:rPr>
        <w:t xml:space="preserve"> pentru comercianții și distribuitorii de produse agroalimentare din regiune.</w:t>
      </w:r>
    </w:p>
    <w:p w14:paraId="1BC7CF47" w14:textId="77777777" w:rsidR="00F20139" w:rsidRPr="009B6C54" w:rsidRDefault="00F20139" w:rsidP="00F20139">
      <w:pPr>
        <w:spacing w:after="0" w:line="240" w:lineRule="auto"/>
        <w:jc w:val="both"/>
        <w:rPr>
          <w:rFonts w:eastAsia="Times New Roman" w:cstheme="minorHAnsi"/>
        </w:rPr>
      </w:pPr>
      <w:r w:rsidRPr="009B6C54">
        <w:rPr>
          <w:rFonts w:eastAsia="Times New Roman" w:cstheme="minorHAnsi"/>
          <w:b/>
          <w:bCs/>
        </w:rPr>
        <w:t>Segmente vizate:</w:t>
      </w:r>
      <w:r>
        <w:rPr>
          <w:rFonts w:eastAsia="Times New Roman" w:cstheme="minorHAnsi"/>
          <w:b/>
          <w:bCs/>
        </w:rPr>
        <w:t xml:space="preserve"> </w:t>
      </w:r>
      <w:r w:rsidRPr="009B6C54">
        <w:rPr>
          <w:rFonts w:eastAsia="Times New Roman" w:cstheme="minorHAnsi"/>
        </w:rPr>
        <w:t>comercianți en-gros de produse agroalimentare;</w:t>
      </w:r>
      <w:r>
        <w:rPr>
          <w:rFonts w:eastAsia="Times New Roman" w:cstheme="minorHAnsi"/>
        </w:rPr>
        <w:t xml:space="preserve"> </w:t>
      </w:r>
      <w:r w:rsidRPr="009B6C54">
        <w:rPr>
          <w:rFonts w:eastAsia="Times New Roman" w:cstheme="minorHAnsi"/>
        </w:rPr>
        <w:t>distribuitori regionali;</w:t>
      </w:r>
      <w:r>
        <w:rPr>
          <w:rFonts w:eastAsia="Times New Roman" w:cstheme="minorHAnsi"/>
        </w:rPr>
        <w:t xml:space="preserve"> </w:t>
      </w:r>
      <w:r w:rsidRPr="009B6C54">
        <w:rPr>
          <w:rFonts w:eastAsia="Times New Roman" w:cstheme="minorHAnsi"/>
        </w:rPr>
        <w:t>comercianți din piețele agroalimentare;</w:t>
      </w:r>
      <w:r>
        <w:rPr>
          <w:rFonts w:eastAsia="Times New Roman" w:cstheme="minorHAnsi"/>
        </w:rPr>
        <w:t xml:space="preserve"> </w:t>
      </w:r>
      <w:r w:rsidRPr="009B6C54">
        <w:rPr>
          <w:rFonts w:eastAsia="Times New Roman" w:cstheme="minorHAnsi"/>
        </w:rPr>
        <w:t>operatori ai comerțului tradițional (magazine de proximitate, aprozare).</w:t>
      </w:r>
    </w:p>
    <w:p w14:paraId="5B679E7F" w14:textId="77777777" w:rsidR="00F20139" w:rsidRPr="009B6C54" w:rsidRDefault="00F20139" w:rsidP="00F20139">
      <w:pPr>
        <w:pStyle w:val="ListParagraph"/>
        <w:numPr>
          <w:ilvl w:val="0"/>
          <w:numId w:val="37"/>
        </w:numPr>
        <w:spacing w:after="0" w:line="240" w:lineRule="auto"/>
        <w:jc w:val="both"/>
        <w:outlineLvl w:val="2"/>
        <w:rPr>
          <w:rFonts w:eastAsia="Times New Roman" w:cstheme="minorHAnsi"/>
        </w:rPr>
      </w:pPr>
      <w:r w:rsidRPr="009B6C54">
        <w:rPr>
          <w:rFonts w:eastAsia="Times New Roman" w:cstheme="minorHAnsi"/>
          <w:b/>
          <w:bCs/>
        </w:rPr>
        <w:lastRenderedPageBreak/>
        <w:t>Piața consumatorilor finali din zona metropolitană Cluj</w:t>
      </w:r>
      <w:r>
        <w:rPr>
          <w:rFonts w:eastAsia="Times New Roman" w:cstheme="minorHAnsi"/>
          <w:b/>
          <w:bCs/>
        </w:rPr>
        <w:t xml:space="preserve">: </w:t>
      </w:r>
      <w:r w:rsidRPr="009B6C54">
        <w:rPr>
          <w:rFonts w:eastAsia="Times New Roman" w:cstheme="minorHAnsi"/>
        </w:rPr>
        <w:t>Pe lângă activitatea en-gros, centrul oferă posibilitatea comercializării produselor și către consumatori finali.</w:t>
      </w:r>
    </w:p>
    <w:p w14:paraId="313867D2" w14:textId="77777777" w:rsidR="00F20139" w:rsidRPr="009B6C54" w:rsidRDefault="00F20139" w:rsidP="00F20139">
      <w:pPr>
        <w:spacing w:after="0" w:line="240" w:lineRule="auto"/>
        <w:jc w:val="both"/>
        <w:rPr>
          <w:rFonts w:eastAsia="Times New Roman" w:cstheme="minorHAnsi"/>
        </w:rPr>
      </w:pPr>
      <w:r w:rsidRPr="009B6C54">
        <w:rPr>
          <w:rFonts w:eastAsia="Times New Roman" w:cstheme="minorHAnsi"/>
          <w:b/>
          <w:bCs/>
        </w:rPr>
        <w:t>Segmente vizate:</w:t>
      </w:r>
      <w:r>
        <w:rPr>
          <w:rFonts w:eastAsia="Times New Roman" w:cstheme="minorHAnsi"/>
          <w:b/>
          <w:bCs/>
        </w:rPr>
        <w:t xml:space="preserve"> </w:t>
      </w:r>
      <w:r w:rsidRPr="009B6C54">
        <w:rPr>
          <w:rFonts w:eastAsia="Times New Roman" w:cstheme="minorHAnsi"/>
        </w:rPr>
        <w:t>populația din municipiul Cluj-Napoca;</w:t>
      </w:r>
      <w:r>
        <w:rPr>
          <w:rFonts w:eastAsia="Times New Roman" w:cstheme="minorHAnsi"/>
        </w:rPr>
        <w:t xml:space="preserve"> </w:t>
      </w:r>
      <w:r w:rsidRPr="009B6C54">
        <w:rPr>
          <w:rFonts w:eastAsia="Times New Roman" w:cstheme="minorHAnsi"/>
        </w:rPr>
        <w:t>consumatori din zona metropolitană;</w:t>
      </w:r>
      <w:r>
        <w:rPr>
          <w:rFonts w:eastAsia="Times New Roman" w:cstheme="minorHAnsi"/>
        </w:rPr>
        <w:t xml:space="preserve"> </w:t>
      </w:r>
      <w:r w:rsidRPr="009B6C54">
        <w:rPr>
          <w:rFonts w:eastAsia="Times New Roman" w:cstheme="minorHAnsi"/>
        </w:rPr>
        <w:t>cumpărători interesați de produse proaspete și locale.</w:t>
      </w:r>
    </w:p>
    <w:p w14:paraId="5BF3BC87" w14:textId="77777777" w:rsidR="00F20139" w:rsidRPr="009B6C54" w:rsidRDefault="00F20139" w:rsidP="00F20139">
      <w:pPr>
        <w:spacing w:after="0" w:line="240" w:lineRule="auto"/>
        <w:jc w:val="both"/>
        <w:outlineLvl w:val="0"/>
        <w:rPr>
          <w:rFonts w:eastAsia="Times New Roman" w:cstheme="minorHAnsi"/>
          <w:b/>
          <w:bCs/>
          <w:kern w:val="36"/>
        </w:rPr>
      </w:pPr>
      <w:r w:rsidRPr="009B6C54">
        <w:rPr>
          <w:rFonts w:eastAsia="Times New Roman" w:cstheme="minorHAnsi"/>
          <w:b/>
          <w:bCs/>
          <w:kern w:val="36"/>
        </w:rPr>
        <w:t xml:space="preserve">2. Piețe țintă de extindere </w:t>
      </w:r>
    </w:p>
    <w:p w14:paraId="30946DB2" w14:textId="77777777" w:rsidR="00F20139" w:rsidRPr="009B6C54" w:rsidRDefault="00F20139" w:rsidP="00F20139">
      <w:pPr>
        <w:pStyle w:val="ListParagraph"/>
        <w:numPr>
          <w:ilvl w:val="0"/>
          <w:numId w:val="38"/>
        </w:numPr>
        <w:spacing w:after="0" w:line="240" w:lineRule="auto"/>
        <w:jc w:val="both"/>
        <w:outlineLvl w:val="2"/>
        <w:rPr>
          <w:rFonts w:eastAsia="Times New Roman" w:cstheme="minorHAnsi"/>
        </w:rPr>
      </w:pPr>
      <w:r w:rsidRPr="009B6C54">
        <w:rPr>
          <w:rFonts w:eastAsia="Times New Roman" w:cstheme="minorHAnsi"/>
          <w:b/>
          <w:bCs/>
        </w:rPr>
        <w:t xml:space="preserve">Piața sectorului HoReCa și a operatorilor din industria alimentară: </w:t>
      </w:r>
      <w:r w:rsidRPr="009B6C54">
        <w:rPr>
          <w:rFonts w:eastAsia="Times New Roman" w:cstheme="minorHAnsi"/>
        </w:rPr>
        <w:t>Pentru perioada următoare, centrul urmărește dezvoltarea relațiilor comerciale cu operatorii din sectorul alimentației publice și al industriei alimentare.</w:t>
      </w:r>
    </w:p>
    <w:p w14:paraId="494119A9" w14:textId="21678CEF" w:rsidR="00F20139" w:rsidRPr="00716340" w:rsidRDefault="00F20139" w:rsidP="00F20139">
      <w:pPr>
        <w:spacing w:after="0" w:line="240" w:lineRule="auto"/>
        <w:jc w:val="both"/>
        <w:rPr>
          <w:rFonts w:eastAsia="Times New Roman" w:cstheme="minorHAnsi"/>
        </w:rPr>
      </w:pPr>
      <w:r w:rsidRPr="009B6C54">
        <w:rPr>
          <w:rFonts w:eastAsia="Times New Roman" w:cstheme="minorHAnsi"/>
          <w:b/>
          <w:bCs/>
        </w:rPr>
        <w:t>Segmente vizate:</w:t>
      </w:r>
      <w:r>
        <w:rPr>
          <w:rFonts w:eastAsia="Times New Roman" w:cstheme="minorHAnsi"/>
          <w:b/>
          <w:bCs/>
        </w:rPr>
        <w:t xml:space="preserve"> </w:t>
      </w:r>
      <w:r w:rsidRPr="009B6C54">
        <w:rPr>
          <w:rFonts w:eastAsia="Times New Roman" w:cstheme="minorHAnsi"/>
        </w:rPr>
        <w:t>restaurante și unități HoReCa;</w:t>
      </w:r>
      <w:r>
        <w:rPr>
          <w:rFonts w:eastAsia="Times New Roman" w:cstheme="minorHAnsi"/>
        </w:rPr>
        <w:t xml:space="preserve"> </w:t>
      </w:r>
      <w:r w:rsidRPr="009B6C54">
        <w:rPr>
          <w:rFonts w:eastAsia="Times New Roman" w:cstheme="minorHAnsi"/>
        </w:rPr>
        <w:t>cantine și unități de alimentație publică;</w:t>
      </w:r>
      <w:r>
        <w:rPr>
          <w:rFonts w:eastAsia="Times New Roman" w:cstheme="minorHAnsi"/>
        </w:rPr>
        <w:t xml:space="preserve"> </w:t>
      </w:r>
      <w:r w:rsidRPr="009B6C54">
        <w:rPr>
          <w:rFonts w:eastAsia="Times New Roman" w:cstheme="minorHAnsi"/>
        </w:rPr>
        <w:t xml:space="preserve">unități de </w:t>
      </w:r>
      <w:r w:rsidRPr="00716340">
        <w:rPr>
          <w:rFonts w:eastAsia="Times New Roman" w:cstheme="minorHAnsi"/>
        </w:rPr>
        <w:t>proces</w:t>
      </w:r>
      <w:r w:rsidR="00C86FB0" w:rsidRPr="00716340">
        <w:rPr>
          <w:rFonts w:eastAsia="Times New Roman" w:cstheme="minorHAnsi"/>
        </w:rPr>
        <w:t>are a produselor agroalimentare; consumatori casnici.</w:t>
      </w:r>
    </w:p>
    <w:p w14:paraId="6182339F" w14:textId="77777777" w:rsidR="00F20139" w:rsidRPr="009B6C54" w:rsidRDefault="00F20139" w:rsidP="00F20139">
      <w:pPr>
        <w:pStyle w:val="ListParagraph"/>
        <w:numPr>
          <w:ilvl w:val="0"/>
          <w:numId w:val="39"/>
        </w:numPr>
        <w:spacing w:after="0" w:line="240" w:lineRule="auto"/>
        <w:jc w:val="both"/>
        <w:outlineLvl w:val="2"/>
        <w:rPr>
          <w:rFonts w:eastAsia="Times New Roman" w:cstheme="minorHAnsi"/>
        </w:rPr>
      </w:pPr>
      <w:r w:rsidRPr="009B6C54">
        <w:rPr>
          <w:rFonts w:eastAsia="Times New Roman" w:cstheme="minorHAnsi"/>
          <w:b/>
          <w:bCs/>
        </w:rPr>
        <w:t>Piața instituțională</w:t>
      </w:r>
      <w:r>
        <w:rPr>
          <w:rFonts w:eastAsia="Times New Roman" w:cstheme="minorHAnsi"/>
          <w:b/>
          <w:bCs/>
        </w:rPr>
        <w:t xml:space="preserve">: </w:t>
      </w:r>
      <w:r w:rsidRPr="009B6C54">
        <w:rPr>
          <w:rFonts w:eastAsia="Times New Roman" w:cstheme="minorHAnsi"/>
        </w:rPr>
        <w:t>Centrul poate deveni un furnizor relevant pentru instituțiile care achiziționează produse agroalimentare.</w:t>
      </w:r>
    </w:p>
    <w:p w14:paraId="5B0342B0" w14:textId="77777777" w:rsidR="00F20139" w:rsidRPr="009B6C54" w:rsidRDefault="00F20139" w:rsidP="00F20139">
      <w:pPr>
        <w:spacing w:after="0" w:line="240" w:lineRule="auto"/>
        <w:jc w:val="both"/>
        <w:rPr>
          <w:rFonts w:eastAsia="Times New Roman" w:cstheme="minorHAnsi"/>
        </w:rPr>
      </w:pPr>
      <w:r w:rsidRPr="009B6C54">
        <w:rPr>
          <w:rFonts w:eastAsia="Times New Roman" w:cstheme="minorHAnsi"/>
          <w:b/>
          <w:bCs/>
        </w:rPr>
        <w:t>Segmente vizate:</w:t>
      </w:r>
      <w:r>
        <w:rPr>
          <w:rFonts w:eastAsia="Times New Roman" w:cstheme="minorHAnsi"/>
          <w:b/>
          <w:bCs/>
        </w:rPr>
        <w:t xml:space="preserve"> </w:t>
      </w:r>
      <w:r w:rsidRPr="009B6C54">
        <w:rPr>
          <w:rFonts w:eastAsia="Times New Roman" w:cstheme="minorHAnsi"/>
        </w:rPr>
        <w:t>instituții publice;</w:t>
      </w:r>
      <w:r>
        <w:rPr>
          <w:rFonts w:eastAsia="Times New Roman" w:cstheme="minorHAnsi"/>
        </w:rPr>
        <w:t xml:space="preserve"> </w:t>
      </w:r>
      <w:r w:rsidRPr="009B6C54">
        <w:rPr>
          <w:rFonts w:eastAsia="Times New Roman" w:cstheme="minorHAnsi"/>
        </w:rPr>
        <w:t>unități de învățământ;</w:t>
      </w:r>
      <w:r>
        <w:rPr>
          <w:rFonts w:eastAsia="Times New Roman" w:cstheme="minorHAnsi"/>
        </w:rPr>
        <w:t xml:space="preserve"> </w:t>
      </w:r>
      <w:r w:rsidRPr="009B6C54">
        <w:rPr>
          <w:rFonts w:eastAsia="Times New Roman" w:cstheme="minorHAnsi"/>
        </w:rPr>
        <w:t>spitale și alte instituții care asigură servicii de alimentație.</w:t>
      </w:r>
    </w:p>
    <w:p w14:paraId="2EF9FEA0" w14:textId="5FB6E467" w:rsidR="00D058F6" w:rsidRPr="00903F2F" w:rsidRDefault="00D058F6" w:rsidP="00903F2F">
      <w:pPr>
        <w:pStyle w:val="ListParagraph"/>
        <w:numPr>
          <w:ilvl w:val="1"/>
          <w:numId w:val="1"/>
        </w:numPr>
        <w:spacing w:after="0" w:line="240" w:lineRule="auto"/>
        <w:ind w:left="360"/>
        <w:rPr>
          <w:u w:val="single"/>
        </w:rPr>
      </w:pPr>
      <w:r w:rsidRPr="00903F2F">
        <w:rPr>
          <w:u w:val="single"/>
        </w:rPr>
        <w:t>Mediul de afaceri</w:t>
      </w:r>
    </w:p>
    <w:p w14:paraId="237A0B31" w14:textId="77777777" w:rsidR="004A34ED" w:rsidRDefault="004A34ED" w:rsidP="006E27E8">
      <w:pPr>
        <w:shd w:val="clear" w:color="auto" w:fill="FFFFFF"/>
        <w:spacing w:after="0" w:line="240" w:lineRule="auto"/>
        <w:jc w:val="both"/>
        <w:rPr>
          <w:rFonts w:eastAsia="Times New Roman" w:cstheme="minorHAnsi"/>
          <w:color w:val="0A0A0A"/>
        </w:rPr>
      </w:pPr>
      <w:r w:rsidRPr="00903F2F">
        <w:rPr>
          <w:rFonts w:eastAsia="Times New Roman" w:cstheme="minorHAnsi"/>
          <w:color w:val="0A0A0A"/>
        </w:rPr>
        <w:t>Mediul de afaceri în care activează </w:t>
      </w:r>
      <w:r w:rsidRPr="00903F2F">
        <w:rPr>
          <w:rFonts w:eastAsia="Times New Roman" w:cstheme="minorHAnsi"/>
          <w:b/>
          <w:bCs/>
          <w:color w:val="0A0A0A"/>
        </w:rPr>
        <w:t>Centrul Agro Transilvania Cluj SA</w:t>
      </w:r>
      <w:r w:rsidRPr="00903F2F">
        <w:rPr>
          <w:rFonts w:eastAsia="Times New Roman" w:cstheme="minorHAnsi"/>
          <w:color w:val="0A0A0A"/>
        </w:rPr>
        <w:t> este unul stabil, dar marcat de o competiție acerbă între formele tradiționale de comerț și expansiunea marilor retaileri.</w:t>
      </w:r>
    </w:p>
    <w:p w14:paraId="3D1C32F2" w14:textId="77777777" w:rsidR="006E27E8" w:rsidRPr="006E27E8" w:rsidRDefault="006E27E8" w:rsidP="006E27E8">
      <w:pPr>
        <w:shd w:val="clear" w:color="auto" w:fill="FFFFFF"/>
        <w:spacing w:after="0" w:line="240" w:lineRule="auto"/>
        <w:jc w:val="both"/>
        <w:rPr>
          <w:rFonts w:eastAsia="Times New Roman" w:cstheme="minorHAnsi"/>
          <w:color w:val="0A0A0A"/>
        </w:rPr>
      </w:pPr>
      <w:r w:rsidRPr="006E27E8">
        <w:rPr>
          <w:rFonts w:eastAsia="Times New Roman" w:cstheme="minorHAnsi"/>
          <w:color w:val="0A0A0A"/>
        </w:rPr>
        <w:t>Centrul Agro Transilvania Cluj operează într-un mediu cu competiție acerbă între comerțul tradițional și marile lanțuri de retail. Piețele țintă includ comercianți en-gros și en-detail, sectorul HoReCa și consumatorii finali din Cluj și localitățile învecinate.</w:t>
      </w:r>
    </w:p>
    <w:p w14:paraId="5FC9EF61" w14:textId="288FAFAB" w:rsidR="006E27E8" w:rsidRPr="006E27E8" w:rsidRDefault="006E27E8" w:rsidP="006E27E8">
      <w:pPr>
        <w:shd w:val="clear" w:color="auto" w:fill="FFFFFF"/>
        <w:spacing w:after="0" w:line="240" w:lineRule="auto"/>
        <w:jc w:val="both"/>
        <w:rPr>
          <w:rFonts w:eastAsia="Times New Roman" w:cstheme="minorHAnsi"/>
          <w:color w:val="0A0A0A"/>
        </w:rPr>
      </w:pPr>
      <w:r w:rsidRPr="006E27E8">
        <w:rPr>
          <w:rFonts w:eastAsia="Times New Roman" w:cstheme="minorHAnsi"/>
          <w:color w:val="0A0A0A"/>
        </w:rPr>
        <w:t>Furnizorii principali sunt micii fermieri locali, asociațiile de producători și importatorii de produse</w:t>
      </w:r>
      <w:r w:rsidR="00716340">
        <w:rPr>
          <w:rFonts w:eastAsia="Times New Roman" w:cstheme="minorHAnsi"/>
          <w:color w:val="0A0A0A"/>
        </w:rPr>
        <w:t>.</w:t>
      </w:r>
      <w:r w:rsidRPr="006E27E8">
        <w:rPr>
          <w:rFonts w:eastAsia="Times New Roman" w:cstheme="minorHAnsi"/>
          <w:color w:val="0A0A0A"/>
        </w:rPr>
        <w:t xml:space="preserve"> Concurența provine din hypermarketuri, alte piețe locale și platforme logistice private.</w:t>
      </w:r>
    </w:p>
    <w:p w14:paraId="2FD0C76E" w14:textId="23664FE7" w:rsidR="006E27E8" w:rsidRPr="00903F2F" w:rsidRDefault="006E27E8" w:rsidP="006E27E8">
      <w:pPr>
        <w:shd w:val="clear" w:color="auto" w:fill="FFFFFF"/>
        <w:spacing w:after="0" w:line="240" w:lineRule="auto"/>
        <w:jc w:val="both"/>
        <w:rPr>
          <w:rFonts w:eastAsia="Times New Roman" w:cstheme="minorHAnsi"/>
          <w:color w:val="0A0A0A"/>
        </w:rPr>
      </w:pPr>
      <w:r w:rsidRPr="006E27E8">
        <w:rPr>
          <w:rFonts w:eastAsia="Times New Roman" w:cstheme="minorHAnsi"/>
          <w:color w:val="0A0A0A"/>
        </w:rPr>
        <w:t>Avantajele centrului includ localizarea strategică lângă centură și aeroport, precum și trendul crescător pentru produse locale (“Local Food”). Principalele provocări sunt fluctuațiile sezoniere și costurile energetice ridicate, deși acestea sunt parțial compensate prin investiții în infrastructură modernă, inclusiv energie fotovoltaică.</w:t>
      </w:r>
    </w:p>
    <w:p w14:paraId="47D45FB5" w14:textId="2BE3D86F" w:rsidR="00E170E1" w:rsidRPr="00604D5E" w:rsidRDefault="00D058F6" w:rsidP="00604D5E">
      <w:pPr>
        <w:pStyle w:val="ListParagraph"/>
        <w:numPr>
          <w:ilvl w:val="1"/>
          <w:numId w:val="1"/>
        </w:numPr>
        <w:spacing w:after="0" w:line="240" w:lineRule="auto"/>
        <w:ind w:left="360"/>
      </w:pPr>
      <w:r w:rsidRPr="00604D5E">
        <w:rPr>
          <w:u w:val="single"/>
        </w:rPr>
        <w:t>C</w:t>
      </w:r>
      <w:r w:rsidR="00E170E1" w:rsidRPr="00604D5E">
        <w:rPr>
          <w:u w:val="single"/>
        </w:rPr>
        <w:t>o</w:t>
      </w:r>
      <w:r w:rsidRPr="00604D5E">
        <w:rPr>
          <w:u w:val="single"/>
        </w:rPr>
        <w:t>ntextul legislativ</w:t>
      </w:r>
    </w:p>
    <w:p w14:paraId="3BAD25F6" w14:textId="77777777" w:rsidR="004A34ED" w:rsidRPr="00903F2F" w:rsidRDefault="004A34ED" w:rsidP="00A05D42">
      <w:pPr>
        <w:shd w:val="clear" w:color="auto" w:fill="FFFFFF"/>
        <w:spacing w:after="0" w:line="240" w:lineRule="auto"/>
        <w:jc w:val="both"/>
        <w:rPr>
          <w:rFonts w:eastAsia="Times New Roman" w:cstheme="minorHAnsi"/>
          <w:color w:val="0A0A0A"/>
        </w:rPr>
      </w:pPr>
      <w:r w:rsidRPr="00903F2F">
        <w:rPr>
          <w:rFonts w:eastAsia="Times New Roman" w:cstheme="minorHAnsi"/>
          <w:color w:val="0A0A0A"/>
        </w:rPr>
        <w:t>Fiind o întreprindere publică, societatea trebuie să se conformeze unui set de acte normative care îi definesc structura și transparența:</w:t>
      </w:r>
    </w:p>
    <w:p w14:paraId="7C961E3D" w14:textId="77777777" w:rsidR="004A34ED" w:rsidRPr="00903F2F" w:rsidRDefault="004A34ED" w:rsidP="00A05D42">
      <w:pPr>
        <w:numPr>
          <w:ilvl w:val="0"/>
          <w:numId w:val="12"/>
        </w:numPr>
        <w:shd w:val="clear" w:color="auto" w:fill="FFFFFF"/>
        <w:spacing w:after="0" w:line="240" w:lineRule="auto"/>
        <w:jc w:val="both"/>
        <w:rPr>
          <w:rFonts w:eastAsia="Times New Roman" w:cstheme="minorHAnsi"/>
          <w:color w:val="0A0A0A"/>
        </w:rPr>
      </w:pPr>
      <w:r w:rsidRPr="00903F2F">
        <w:rPr>
          <w:rFonts w:eastAsia="Times New Roman" w:cstheme="minorHAnsi"/>
          <w:b/>
          <w:bCs/>
          <w:color w:val="0A0A0A"/>
        </w:rPr>
        <w:t>OUG nr. 109/2011:</w:t>
      </w:r>
      <w:r w:rsidRPr="00903F2F">
        <w:rPr>
          <w:rFonts w:eastAsia="Times New Roman" w:cstheme="minorHAnsi"/>
          <w:color w:val="0A0A0A"/>
        </w:rPr>
        <w:t> Pilonul central al funcționării, reglementând selecția administratorilor și directorilor pe criterii de competență și monitorizarea performanței financiare.</w:t>
      </w:r>
    </w:p>
    <w:p w14:paraId="2612FC21" w14:textId="77777777" w:rsidR="004A34ED" w:rsidRPr="00903F2F" w:rsidRDefault="004A34ED" w:rsidP="00A05D42">
      <w:pPr>
        <w:numPr>
          <w:ilvl w:val="0"/>
          <w:numId w:val="12"/>
        </w:numPr>
        <w:shd w:val="clear" w:color="auto" w:fill="FFFFFF"/>
        <w:spacing w:after="0" w:line="240" w:lineRule="auto"/>
        <w:jc w:val="both"/>
        <w:rPr>
          <w:rFonts w:eastAsia="Times New Roman" w:cstheme="minorHAnsi"/>
          <w:color w:val="0A0A0A"/>
        </w:rPr>
      </w:pPr>
      <w:r w:rsidRPr="00903F2F">
        <w:rPr>
          <w:rFonts w:eastAsia="Times New Roman" w:cstheme="minorHAnsi"/>
          <w:b/>
          <w:bCs/>
          <w:color w:val="0A0A0A"/>
        </w:rPr>
        <w:t>OUG nr. 57/2019 (Codul Administrativ):</w:t>
      </w:r>
      <w:r w:rsidRPr="00903F2F">
        <w:rPr>
          <w:rFonts w:eastAsia="Times New Roman" w:cstheme="minorHAnsi"/>
          <w:color w:val="0A0A0A"/>
        </w:rPr>
        <w:t> Definește relația de subordonare și control față de acționarul majoritar, Consiliul Județean Cluj.</w:t>
      </w:r>
    </w:p>
    <w:p w14:paraId="415F3C1B" w14:textId="77777777" w:rsidR="004A34ED" w:rsidRPr="00903F2F" w:rsidRDefault="004A34ED" w:rsidP="00A05D42">
      <w:pPr>
        <w:numPr>
          <w:ilvl w:val="0"/>
          <w:numId w:val="12"/>
        </w:numPr>
        <w:shd w:val="clear" w:color="auto" w:fill="FFFFFF"/>
        <w:spacing w:after="0" w:line="240" w:lineRule="auto"/>
        <w:jc w:val="both"/>
        <w:rPr>
          <w:rFonts w:eastAsia="Times New Roman" w:cstheme="minorHAnsi"/>
          <w:color w:val="0A0A0A"/>
        </w:rPr>
      </w:pPr>
      <w:r w:rsidRPr="00903F2F">
        <w:rPr>
          <w:rFonts w:eastAsia="Times New Roman" w:cstheme="minorHAnsi"/>
          <w:b/>
          <w:bCs/>
          <w:color w:val="0A0A0A"/>
        </w:rPr>
        <w:t>Legea nr. 31/1990:</w:t>
      </w:r>
      <w:r w:rsidRPr="00903F2F">
        <w:rPr>
          <w:rFonts w:eastAsia="Times New Roman" w:cstheme="minorHAnsi"/>
          <w:color w:val="0A0A0A"/>
        </w:rPr>
        <w:t> Cadrul general pentru societățile pe acțiuni, sub rezerva prevederilor speciale pentru entitățile de stat.</w:t>
      </w:r>
    </w:p>
    <w:p w14:paraId="7D91A189" w14:textId="34D9FBAF" w:rsidR="004A34ED" w:rsidRPr="00F20139" w:rsidRDefault="004A34ED" w:rsidP="00A05D42">
      <w:pPr>
        <w:numPr>
          <w:ilvl w:val="0"/>
          <w:numId w:val="12"/>
        </w:numPr>
        <w:shd w:val="clear" w:color="auto" w:fill="FFFFFF"/>
        <w:spacing w:after="0" w:line="240" w:lineRule="auto"/>
        <w:jc w:val="both"/>
        <w:rPr>
          <w:rFonts w:eastAsia="Times New Roman" w:cstheme="minorHAnsi"/>
        </w:rPr>
      </w:pPr>
      <w:r w:rsidRPr="00903F2F">
        <w:rPr>
          <w:rFonts w:eastAsia="Times New Roman" w:cstheme="minorHAnsi"/>
          <w:b/>
          <w:bCs/>
          <w:color w:val="0A0A0A"/>
        </w:rPr>
        <w:t>Reglementări de Etică:</w:t>
      </w:r>
      <w:r w:rsidRPr="00903F2F">
        <w:rPr>
          <w:rFonts w:eastAsia="Times New Roman" w:cstheme="minorHAnsi"/>
          <w:color w:val="0A0A0A"/>
        </w:rPr>
        <w:t> Implementarea procedurilor operaționale privind </w:t>
      </w:r>
      <w:hyperlink r:id="rId8" w:tgtFrame="_blank" w:history="1">
        <w:r w:rsidRPr="00604D5E">
          <w:rPr>
            <w:rFonts w:eastAsia="Times New Roman" w:cstheme="minorHAnsi"/>
          </w:rPr>
          <w:t>etica</w:t>
        </w:r>
        <w:r w:rsidR="00604D5E">
          <w:rPr>
            <w:rFonts w:eastAsia="Times New Roman" w:cstheme="minorHAnsi"/>
          </w:rPr>
          <w:t xml:space="preserve"> </w:t>
        </w:r>
        <w:r w:rsidRPr="00604D5E">
          <w:rPr>
            <w:rFonts w:eastAsia="Times New Roman" w:cstheme="minorHAnsi"/>
          </w:rPr>
          <w:t>și</w:t>
        </w:r>
        <w:r w:rsidR="00A05D42" w:rsidRPr="00604D5E">
          <w:rPr>
            <w:rFonts w:eastAsia="Times New Roman" w:cstheme="minorHAnsi"/>
          </w:rPr>
          <w:t xml:space="preserve"> i</w:t>
        </w:r>
        <w:r w:rsidRPr="00604D5E">
          <w:rPr>
            <w:rFonts w:eastAsia="Times New Roman" w:cstheme="minorHAnsi"/>
          </w:rPr>
          <w:t>ntegritatea</w:t>
        </w:r>
      </w:hyperlink>
      <w:r w:rsidRPr="00604D5E">
        <w:rPr>
          <w:rFonts w:eastAsia="Times New Roman" w:cstheme="minorHAnsi"/>
        </w:rPr>
        <w:t> și protecția avertizorilor în interes public, conform normelor UE transpuse</w:t>
      </w:r>
      <w:r w:rsidRPr="00903F2F">
        <w:rPr>
          <w:rFonts w:eastAsia="Times New Roman" w:cstheme="minorHAnsi"/>
          <w:color w:val="0A0A0A"/>
        </w:rPr>
        <w:t>. </w:t>
      </w:r>
    </w:p>
    <w:p w14:paraId="270C9401" w14:textId="50E44C7B" w:rsidR="00F20139" w:rsidRDefault="00F20139" w:rsidP="00A05D42">
      <w:pPr>
        <w:numPr>
          <w:ilvl w:val="0"/>
          <w:numId w:val="12"/>
        </w:numPr>
        <w:shd w:val="clear" w:color="auto" w:fill="FFFFFF"/>
        <w:spacing w:after="0" w:line="240" w:lineRule="auto"/>
        <w:jc w:val="both"/>
        <w:rPr>
          <w:rFonts w:eastAsia="Times New Roman" w:cstheme="minorHAnsi"/>
        </w:rPr>
      </w:pPr>
      <w:r w:rsidRPr="00F20139">
        <w:rPr>
          <w:rFonts w:eastAsia="Times New Roman" w:cstheme="minorHAnsi"/>
        </w:rPr>
        <w:t>Legislația privind piețele agroalimentare și comerțul</w:t>
      </w:r>
      <w:r>
        <w:rPr>
          <w:rFonts w:eastAsia="Times New Roman" w:cstheme="minorHAnsi"/>
        </w:rPr>
        <w:t>.</w:t>
      </w:r>
    </w:p>
    <w:p w14:paraId="5BC0AEEA" w14:textId="7A7662CA" w:rsidR="00F20139" w:rsidRPr="00903F2F" w:rsidRDefault="006E27E8" w:rsidP="00A05D42">
      <w:pPr>
        <w:numPr>
          <w:ilvl w:val="0"/>
          <w:numId w:val="12"/>
        </w:numPr>
        <w:shd w:val="clear" w:color="auto" w:fill="FFFFFF"/>
        <w:spacing w:after="0" w:line="240" w:lineRule="auto"/>
        <w:jc w:val="both"/>
        <w:rPr>
          <w:rFonts w:eastAsia="Times New Roman" w:cstheme="minorHAnsi"/>
        </w:rPr>
      </w:pPr>
      <w:r>
        <w:rPr>
          <w:rFonts w:eastAsia="Times New Roman" w:cstheme="minorHAnsi"/>
        </w:rPr>
        <w:t>Le</w:t>
      </w:r>
      <w:r w:rsidRPr="006E27E8">
        <w:rPr>
          <w:rFonts w:eastAsia="Times New Roman" w:cstheme="minorHAnsi"/>
        </w:rPr>
        <w:t>gislația europeană de siguranță alimentară</w:t>
      </w:r>
      <w:r>
        <w:rPr>
          <w:rFonts w:eastAsia="Times New Roman" w:cstheme="minorHAnsi"/>
        </w:rPr>
        <w:t>.</w:t>
      </w:r>
    </w:p>
    <w:p w14:paraId="329722D9" w14:textId="7FFAF4A2" w:rsidR="00AD6CA0" w:rsidRPr="00604D5E" w:rsidRDefault="00973414" w:rsidP="006E27E8">
      <w:pPr>
        <w:spacing w:after="0" w:line="240" w:lineRule="auto"/>
        <w:jc w:val="both"/>
        <w:rPr>
          <w:b/>
          <w:bCs/>
        </w:rPr>
      </w:pPr>
      <w:r w:rsidRPr="00604D5E">
        <w:rPr>
          <w:b/>
          <w:bCs/>
        </w:rPr>
        <w:t>Având în vedere toate aceste c</w:t>
      </w:r>
      <w:r w:rsidR="00382446" w:rsidRPr="00604D5E">
        <w:rPr>
          <w:b/>
          <w:bCs/>
        </w:rPr>
        <w:t xml:space="preserve">ircumstanțe, considerăm că în viitorul mandat prioritățile Consiliului de Administrație </w:t>
      </w:r>
      <w:r w:rsidR="00520D12" w:rsidRPr="00604D5E">
        <w:rPr>
          <w:b/>
          <w:bCs/>
        </w:rPr>
        <w:t>vor trebui să f</w:t>
      </w:r>
      <w:r w:rsidR="00AD6CA0" w:rsidRPr="00604D5E">
        <w:rPr>
          <w:b/>
          <w:bCs/>
        </w:rPr>
        <w:t>ie următoarele:</w:t>
      </w:r>
    </w:p>
    <w:p w14:paraId="260F4608" w14:textId="77777777" w:rsidR="00AD008B" w:rsidRPr="00AD008B" w:rsidRDefault="00AD008B" w:rsidP="006E27E8">
      <w:pPr>
        <w:spacing w:after="0" w:line="240" w:lineRule="auto"/>
        <w:outlineLvl w:val="2"/>
        <w:rPr>
          <w:rFonts w:eastAsia="Times New Roman" w:cstheme="minorHAnsi"/>
          <w:b/>
          <w:bCs/>
        </w:rPr>
      </w:pPr>
      <w:r w:rsidRPr="00AD008B">
        <w:rPr>
          <w:rFonts w:eastAsia="Times New Roman" w:cstheme="minorHAnsi"/>
          <w:b/>
          <w:bCs/>
        </w:rPr>
        <w:t>1. Dezvoltarea unei infrastructuri agroalimentare moderne și conforme cu standardele europene</w:t>
      </w:r>
    </w:p>
    <w:p w14:paraId="32FE605F" w14:textId="77777777" w:rsidR="00AD008B" w:rsidRPr="00AD008B" w:rsidRDefault="00AD008B" w:rsidP="006E27E8">
      <w:pPr>
        <w:spacing w:after="0" w:line="240" w:lineRule="auto"/>
        <w:jc w:val="both"/>
        <w:rPr>
          <w:rFonts w:eastAsia="Times New Roman" w:cstheme="minorHAnsi"/>
        </w:rPr>
      </w:pPr>
      <w:r w:rsidRPr="00AD008B">
        <w:rPr>
          <w:rFonts w:eastAsia="Times New Roman" w:cstheme="minorHAnsi"/>
        </w:rPr>
        <w:t>Consiliul de Administrație va urmări modernizarea și optimizarea infrastructurii existente, astfel încât activitățile de depozitare, manipulare și comercializare a produselor agroalimentare să se desfășoare în condiții care respectă standardele europene privind igiena, siguranța alimentară și trasabilitatea produselor.</w:t>
      </w:r>
    </w:p>
    <w:p w14:paraId="63C3F094" w14:textId="77777777" w:rsidR="00AD008B" w:rsidRPr="00AD008B" w:rsidRDefault="00AD008B" w:rsidP="00903F2F">
      <w:pPr>
        <w:spacing w:after="0" w:line="240" w:lineRule="auto"/>
        <w:jc w:val="both"/>
        <w:rPr>
          <w:rFonts w:eastAsia="Times New Roman" w:cstheme="minorHAnsi"/>
        </w:rPr>
      </w:pPr>
      <w:r w:rsidRPr="00AD008B">
        <w:rPr>
          <w:rFonts w:eastAsia="Times New Roman" w:cstheme="minorHAnsi"/>
          <w:b/>
          <w:bCs/>
        </w:rPr>
        <w:t>Direcții de acțiune:</w:t>
      </w:r>
    </w:p>
    <w:p w14:paraId="6EF15653" w14:textId="77777777" w:rsidR="00AD008B" w:rsidRPr="00AD008B" w:rsidRDefault="00AD008B" w:rsidP="00903F2F">
      <w:pPr>
        <w:numPr>
          <w:ilvl w:val="0"/>
          <w:numId w:val="31"/>
        </w:numPr>
        <w:spacing w:after="0" w:line="240" w:lineRule="auto"/>
        <w:jc w:val="both"/>
        <w:rPr>
          <w:rFonts w:eastAsia="Times New Roman" w:cstheme="minorHAnsi"/>
        </w:rPr>
      </w:pPr>
      <w:r w:rsidRPr="00AD008B">
        <w:rPr>
          <w:rFonts w:eastAsia="Times New Roman" w:cstheme="minorHAnsi"/>
        </w:rPr>
        <w:t>modernizarea și întreținerea infrastructurii destinate comercializării și depozitării produselor agroalimentare;</w:t>
      </w:r>
    </w:p>
    <w:p w14:paraId="3B8991F5" w14:textId="77777777" w:rsidR="00AD008B" w:rsidRPr="00AD008B" w:rsidRDefault="00AD008B" w:rsidP="00903F2F">
      <w:pPr>
        <w:numPr>
          <w:ilvl w:val="0"/>
          <w:numId w:val="31"/>
        </w:numPr>
        <w:spacing w:after="0" w:line="240" w:lineRule="auto"/>
        <w:jc w:val="both"/>
        <w:rPr>
          <w:rFonts w:eastAsia="Times New Roman" w:cstheme="minorHAnsi"/>
        </w:rPr>
      </w:pPr>
      <w:r w:rsidRPr="00AD008B">
        <w:rPr>
          <w:rFonts w:eastAsia="Times New Roman" w:cstheme="minorHAnsi"/>
        </w:rPr>
        <w:t>implementarea și actualizarea procedurilor privind siguranța alimentară și controlul calității;</w:t>
      </w:r>
    </w:p>
    <w:p w14:paraId="27B13BBF" w14:textId="77777777" w:rsidR="00AD008B" w:rsidRPr="00AD008B" w:rsidRDefault="00AD008B" w:rsidP="00903F2F">
      <w:pPr>
        <w:numPr>
          <w:ilvl w:val="0"/>
          <w:numId w:val="31"/>
        </w:numPr>
        <w:spacing w:after="0" w:line="240" w:lineRule="auto"/>
        <w:jc w:val="both"/>
        <w:rPr>
          <w:rFonts w:eastAsia="Times New Roman" w:cstheme="minorHAnsi"/>
        </w:rPr>
      </w:pPr>
      <w:r w:rsidRPr="00AD008B">
        <w:rPr>
          <w:rFonts w:eastAsia="Times New Roman" w:cstheme="minorHAnsi"/>
        </w:rPr>
        <w:t>dezvoltarea sistemelor de monitorizare a condițiilor de depozitare și manipulare;</w:t>
      </w:r>
    </w:p>
    <w:p w14:paraId="554DDCC3" w14:textId="77777777" w:rsidR="00AD008B" w:rsidRPr="00AD008B" w:rsidRDefault="00AD008B" w:rsidP="00903F2F">
      <w:pPr>
        <w:numPr>
          <w:ilvl w:val="0"/>
          <w:numId w:val="31"/>
        </w:numPr>
        <w:spacing w:after="0" w:line="240" w:lineRule="auto"/>
        <w:jc w:val="both"/>
        <w:rPr>
          <w:rFonts w:eastAsia="Times New Roman" w:cstheme="minorHAnsi"/>
        </w:rPr>
      </w:pPr>
      <w:r w:rsidRPr="00AD008B">
        <w:rPr>
          <w:rFonts w:eastAsia="Times New Roman" w:cstheme="minorHAnsi"/>
        </w:rPr>
        <w:lastRenderedPageBreak/>
        <w:t>colaborarea cu autoritățile competente pentru respectarea normelor sanitar-veterinare și fitosanitare.</w:t>
      </w:r>
    </w:p>
    <w:p w14:paraId="055225B7" w14:textId="77777777" w:rsidR="00AD008B" w:rsidRPr="00AD008B" w:rsidRDefault="00AD008B" w:rsidP="00903F2F">
      <w:pPr>
        <w:spacing w:after="0" w:line="240" w:lineRule="auto"/>
        <w:outlineLvl w:val="2"/>
        <w:rPr>
          <w:rFonts w:eastAsia="Times New Roman" w:cstheme="minorHAnsi"/>
          <w:b/>
          <w:bCs/>
        </w:rPr>
      </w:pPr>
      <w:r w:rsidRPr="00AD008B">
        <w:rPr>
          <w:rFonts w:eastAsia="Times New Roman" w:cstheme="minorHAnsi"/>
          <w:b/>
          <w:bCs/>
        </w:rPr>
        <w:t>2. Îmbunătățirea serviciilor oferite și creșterea gradului de satisfacție al utilizatorilor infrastructurii</w:t>
      </w:r>
    </w:p>
    <w:p w14:paraId="3B7D8498" w14:textId="77777777" w:rsidR="00AD008B" w:rsidRPr="00AD008B" w:rsidRDefault="00AD008B" w:rsidP="00903F2F">
      <w:pPr>
        <w:spacing w:after="0" w:line="240" w:lineRule="auto"/>
        <w:jc w:val="both"/>
        <w:rPr>
          <w:rFonts w:eastAsia="Times New Roman" w:cstheme="minorHAnsi"/>
        </w:rPr>
      </w:pPr>
      <w:r w:rsidRPr="00AD008B">
        <w:rPr>
          <w:rFonts w:eastAsia="Times New Roman" w:cstheme="minorHAnsi"/>
        </w:rPr>
        <w:t>Consiliul de Administrație va promova dezvoltarea unor servicii eficiente și adaptate nevoilor comercianților și producătorilor agricoli, prin optimizarea activităților operaționale și modernizarea proceselor administrative.</w:t>
      </w:r>
    </w:p>
    <w:p w14:paraId="59548E03" w14:textId="77777777" w:rsidR="00AD008B" w:rsidRPr="00AD008B" w:rsidRDefault="00AD008B" w:rsidP="00903F2F">
      <w:pPr>
        <w:spacing w:after="0" w:line="240" w:lineRule="auto"/>
        <w:jc w:val="both"/>
        <w:rPr>
          <w:rFonts w:eastAsia="Times New Roman" w:cstheme="minorHAnsi"/>
        </w:rPr>
      </w:pPr>
      <w:r w:rsidRPr="00AD008B">
        <w:rPr>
          <w:rFonts w:eastAsia="Times New Roman" w:cstheme="minorHAnsi"/>
          <w:b/>
          <w:bCs/>
        </w:rPr>
        <w:t>Direcții de acțiune:</w:t>
      </w:r>
    </w:p>
    <w:p w14:paraId="1BD8FE48" w14:textId="77777777" w:rsidR="00AD008B" w:rsidRPr="00AD008B" w:rsidRDefault="00AD008B" w:rsidP="00903F2F">
      <w:pPr>
        <w:numPr>
          <w:ilvl w:val="0"/>
          <w:numId w:val="32"/>
        </w:numPr>
        <w:spacing w:after="0" w:line="240" w:lineRule="auto"/>
        <w:jc w:val="both"/>
        <w:rPr>
          <w:rFonts w:eastAsia="Times New Roman" w:cstheme="minorHAnsi"/>
        </w:rPr>
      </w:pPr>
      <w:r w:rsidRPr="00AD008B">
        <w:rPr>
          <w:rFonts w:eastAsia="Times New Roman" w:cstheme="minorHAnsi"/>
        </w:rPr>
        <w:t>optimizarea fluxurilor comerciale și logistice din cadrul centrului;</w:t>
      </w:r>
    </w:p>
    <w:p w14:paraId="6E9FC6ED" w14:textId="77777777" w:rsidR="00AD008B" w:rsidRPr="00AD008B" w:rsidRDefault="00AD008B" w:rsidP="00903F2F">
      <w:pPr>
        <w:numPr>
          <w:ilvl w:val="0"/>
          <w:numId w:val="32"/>
        </w:numPr>
        <w:spacing w:after="0" w:line="240" w:lineRule="auto"/>
        <w:jc w:val="both"/>
        <w:rPr>
          <w:rFonts w:eastAsia="Times New Roman" w:cstheme="minorHAnsi"/>
        </w:rPr>
      </w:pPr>
      <w:r w:rsidRPr="00AD008B">
        <w:rPr>
          <w:rFonts w:eastAsia="Times New Roman" w:cstheme="minorHAnsi"/>
        </w:rPr>
        <w:t>digitalizarea serviciilor administrative și comerciale;</w:t>
      </w:r>
    </w:p>
    <w:p w14:paraId="029F69D6" w14:textId="77777777" w:rsidR="00AD008B" w:rsidRPr="00AD008B" w:rsidRDefault="00AD008B" w:rsidP="00903F2F">
      <w:pPr>
        <w:numPr>
          <w:ilvl w:val="0"/>
          <w:numId w:val="32"/>
        </w:numPr>
        <w:spacing w:after="0" w:line="240" w:lineRule="auto"/>
        <w:jc w:val="both"/>
        <w:rPr>
          <w:rFonts w:eastAsia="Times New Roman" w:cstheme="minorHAnsi"/>
        </w:rPr>
      </w:pPr>
      <w:r w:rsidRPr="00AD008B">
        <w:rPr>
          <w:rFonts w:eastAsia="Times New Roman" w:cstheme="minorHAnsi"/>
        </w:rPr>
        <w:t>îmbunătățirea condițiilor de desfășurare a activităților comerciale;</w:t>
      </w:r>
    </w:p>
    <w:p w14:paraId="38ABF469" w14:textId="77777777" w:rsidR="00AD008B" w:rsidRPr="00AD008B" w:rsidRDefault="00AD008B" w:rsidP="00903F2F">
      <w:pPr>
        <w:numPr>
          <w:ilvl w:val="0"/>
          <w:numId w:val="32"/>
        </w:numPr>
        <w:spacing w:after="0" w:line="240" w:lineRule="auto"/>
        <w:jc w:val="both"/>
        <w:rPr>
          <w:rFonts w:eastAsia="Times New Roman" w:cstheme="minorHAnsi"/>
        </w:rPr>
      </w:pPr>
      <w:r w:rsidRPr="00AD008B">
        <w:rPr>
          <w:rFonts w:eastAsia="Times New Roman" w:cstheme="minorHAnsi"/>
        </w:rPr>
        <w:t>dezvoltarea unor mecanisme de comunicare și consultare cu utilizatorii infrastructurii.</w:t>
      </w:r>
    </w:p>
    <w:p w14:paraId="30A9A291" w14:textId="77777777" w:rsidR="00AD008B" w:rsidRPr="00AD008B" w:rsidRDefault="00AD008B" w:rsidP="00903F2F">
      <w:pPr>
        <w:spacing w:after="0" w:line="240" w:lineRule="auto"/>
        <w:jc w:val="both"/>
        <w:outlineLvl w:val="2"/>
        <w:rPr>
          <w:rFonts w:eastAsia="Times New Roman" w:cstheme="minorHAnsi"/>
          <w:b/>
          <w:bCs/>
        </w:rPr>
      </w:pPr>
      <w:r w:rsidRPr="00AD008B">
        <w:rPr>
          <w:rFonts w:eastAsia="Times New Roman" w:cstheme="minorHAnsi"/>
          <w:b/>
          <w:bCs/>
        </w:rPr>
        <w:t>3. Consolidarea performanței economice și a rolului centrului în economia agroalimentară regională</w:t>
      </w:r>
    </w:p>
    <w:p w14:paraId="76CE7508" w14:textId="77777777" w:rsidR="00AD008B" w:rsidRPr="00AD008B" w:rsidRDefault="00AD008B" w:rsidP="00903F2F">
      <w:pPr>
        <w:spacing w:after="0" w:line="240" w:lineRule="auto"/>
        <w:jc w:val="both"/>
        <w:rPr>
          <w:rFonts w:eastAsia="Times New Roman" w:cstheme="minorHAnsi"/>
        </w:rPr>
      </w:pPr>
      <w:r w:rsidRPr="00AD008B">
        <w:rPr>
          <w:rFonts w:eastAsia="Times New Roman" w:cstheme="minorHAnsi"/>
        </w:rPr>
        <w:t>Consiliul de Administrație va urmări creșterea performanței operaționale și financiare a societății prin utilizarea eficientă a resurselor disponibile, dezvoltarea relațiilor comerciale și valorificarea potențialului infrastructurii existente.</w:t>
      </w:r>
    </w:p>
    <w:p w14:paraId="696CA45F" w14:textId="77777777" w:rsidR="00AD008B" w:rsidRPr="00AD008B" w:rsidRDefault="00AD008B" w:rsidP="00903F2F">
      <w:pPr>
        <w:spacing w:after="0" w:line="240" w:lineRule="auto"/>
        <w:jc w:val="both"/>
        <w:rPr>
          <w:rFonts w:eastAsia="Times New Roman" w:cstheme="minorHAnsi"/>
        </w:rPr>
      </w:pPr>
      <w:r w:rsidRPr="00AD008B">
        <w:rPr>
          <w:rFonts w:eastAsia="Times New Roman" w:cstheme="minorHAnsi"/>
          <w:b/>
          <w:bCs/>
        </w:rPr>
        <w:t>Direcții de acțiune:</w:t>
      </w:r>
    </w:p>
    <w:p w14:paraId="07EAC315" w14:textId="77777777" w:rsidR="00AD008B" w:rsidRPr="00903F2F" w:rsidRDefault="00AD008B" w:rsidP="00903F2F">
      <w:pPr>
        <w:numPr>
          <w:ilvl w:val="0"/>
          <w:numId w:val="33"/>
        </w:numPr>
        <w:spacing w:after="0" w:line="240" w:lineRule="auto"/>
        <w:jc w:val="both"/>
        <w:rPr>
          <w:rFonts w:eastAsia="Times New Roman" w:cstheme="minorHAnsi"/>
        </w:rPr>
      </w:pPr>
      <w:r w:rsidRPr="00AD008B">
        <w:rPr>
          <w:rFonts w:eastAsia="Times New Roman" w:cstheme="minorHAnsi"/>
        </w:rPr>
        <w:t>eficientizarea utilizării infrastructurii și a resurselor societății;</w:t>
      </w:r>
    </w:p>
    <w:p w14:paraId="4DF9FD3A" w14:textId="77777777" w:rsidR="00903F2F" w:rsidRPr="00903F2F" w:rsidRDefault="00903F2F" w:rsidP="00903F2F">
      <w:pPr>
        <w:pStyle w:val="ListParagraph"/>
        <w:numPr>
          <w:ilvl w:val="0"/>
          <w:numId w:val="33"/>
        </w:numPr>
        <w:spacing w:after="0" w:line="240" w:lineRule="auto"/>
        <w:rPr>
          <w:rFonts w:eastAsia="Times New Roman" w:cstheme="minorHAnsi"/>
        </w:rPr>
      </w:pPr>
      <w:r w:rsidRPr="00903F2F">
        <w:rPr>
          <w:rFonts w:eastAsia="Times New Roman" w:cstheme="minorHAnsi"/>
        </w:rPr>
        <w:t>optimizarea performanței centralei fotovoltaice (inaugurată în iunie 2025) pentru a asigura auto-consumul energetic.</w:t>
      </w:r>
    </w:p>
    <w:p w14:paraId="544AA5B0" w14:textId="77777777" w:rsidR="00AD008B" w:rsidRPr="00AD008B" w:rsidRDefault="00AD008B" w:rsidP="00903F2F">
      <w:pPr>
        <w:numPr>
          <w:ilvl w:val="0"/>
          <w:numId w:val="33"/>
        </w:numPr>
        <w:spacing w:after="0" w:line="240" w:lineRule="auto"/>
        <w:jc w:val="both"/>
        <w:rPr>
          <w:rFonts w:eastAsia="Times New Roman" w:cstheme="minorHAnsi"/>
        </w:rPr>
      </w:pPr>
      <w:r w:rsidRPr="00AD008B">
        <w:rPr>
          <w:rFonts w:eastAsia="Times New Roman" w:cstheme="minorHAnsi"/>
        </w:rPr>
        <w:t>dezvoltarea relațiilor comerciale cu operatori economici din județul Cluj și județele învecinate;</w:t>
      </w:r>
    </w:p>
    <w:p w14:paraId="4EC33F75" w14:textId="77777777" w:rsidR="00AD008B" w:rsidRPr="00AD008B" w:rsidRDefault="00AD008B" w:rsidP="00903F2F">
      <w:pPr>
        <w:numPr>
          <w:ilvl w:val="0"/>
          <w:numId w:val="33"/>
        </w:numPr>
        <w:spacing w:after="0" w:line="240" w:lineRule="auto"/>
        <w:jc w:val="both"/>
        <w:rPr>
          <w:rFonts w:eastAsia="Times New Roman" w:cstheme="minorHAnsi"/>
        </w:rPr>
      </w:pPr>
      <w:r w:rsidRPr="00AD008B">
        <w:rPr>
          <w:rFonts w:eastAsia="Times New Roman" w:cstheme="minorHAnsi"/>
        </w:rPr>
        <w:t>atragerea de investiții și identificarea unor surse de finanțare pentru dezvoltarea infrastructurii;</w:t>
      </w:r>
    </w:p>
    <w:p w14:paraId="33664246" w14:textId="77777777" w:rsidR="00AD008B" w:rsidRPr="00AD008B" w:rsidRDefault="00AD008B" w:rsidP="00903F2F">
      <w:pPr>
        <w:numPr>
          <w:ilvl w:val="0"/>
          <w:numId w:val="33"/>
        </w:numPr>
        <w:spacing w:after="0" w:line="240" w:lineRule="auto"/>
        <w:jc w:val="both"/>
        <w:rPr>
          <w:rFonts w:eastAsia="Times New Roman" w:cstheme="minorHAnsi"/>
        </w:rPr>
      </w:pPr>
      <w:r w:rsidRPr="00AD008B">
        <w:rPr>
          <w:rFonts w:eastAsia="Times New Roman" w:cstheme="minorHAnsi"/>
        </w:rPr>
        <w:t>consolidarea rolului centrului ca platformă regională de distribuție agroalimentară.</w:t>
      </w:r>
    </w:p>
    <w:p w14:paraId="7DA87E01" w14:textId="77777777" w:rsidR="00AD008B" w:rsidRPr="00AD008B" w:rsidRDefault="00AD008B" w:rsidP="00903F2F">
      <w:pPr>
        <w:spacing w:after="0" w:line="240" w:lineRule="auto"/>
        <w:jc w:val="both"/>
        <w:outlineLvl w:val="2"/>
        <w:rPr>
          <w:rFonts w:eastAsia="Times New Roman" w:cstheme="minorHAnsi"/>
          <w:b/>
          <w:bCs/>
        </w:rPr>
      </w:pPr>
      <w:r w:rsidRPr="00AD008B">
        <w:rPr>
          <w:rFonts w:eastAsia="Times New Roman" w:cstheme="minorHAnsi"/>
          <w:b/>
          <w:bCs/>
        </w:rPr>
        <w:t>4. Sprijinirea producătorilor agricoli și dezvoltarea lanțului agroalimentar regional</w:t>
      </w:r>
    </w:p>
    <w:p w14:paraId="43F6D57D" w14:textId="77777777" w:rsidR="00AD008B" w:rsidRPr="00AD008B" w:rsidRDefault="00AD008B" w:rsidP="00903F2F">
      <w:pPr>
        <w:spacing w:after="0" w:line="240" w:lineRule="auto"/>
        <w:jc w:val="both"/>
        <w:rPr>
          <w:rFonts w:eastAsia="Times New Roman" w:cstheme="minorHAnsi"/>
        </w:rPr>
      </w:pPr>
      <w:r w:rsidRPr="00AD008B">
        <w:rPr>
          <w:rFonts w:eastAsia="Times New Roman" w:cstheme="minorHAnsi"/>
        </w:rPr>
        <w:t>Consiliul de Administrație va susține dezvoltarea unui cadru modern de sprijin pentru producătorii agricoli, prin facilitarea accesului acestora la piața organizată și prin promovarea produselor locale și regionale.</w:t>
      </w:r>
    </w:p>
    <w:p w14:paraId="6F68F041" w14:textId="77777777" w:rsidR="00AD008B" w:rsidRPr="00AD008B" w:rsidRDefault="00AD008B" w:rsidP="00903F2F">
      <w:pPr>
        <w:spacing w:after="0" w:line="240" w:lineRule="auto"/>
        <w:jc w:val="both"/>
        <w:rPr>
          <w:rFonts w:eastAsia="Times New Roman" w:cstheme="minorHAnsi"/>
        </w:rPr>
      </w:pPr>
      <w:r w:rsidRPr="00AD008B">
        <w:rPr>
          <w:rFonts w:eastAsia="Times New Roman" w:cstheme="minorHAnsi"/>
          <w:b/>
          <w:bCs/>
        </w:rPr>
        <w:t>Direcții de acțiune:</w:t>
      </w:r>
    </w:p>
    <w:p w14:paraId="27D5D145" w14:textId="77777777" w:rsidR="00AD008B" w:rsidRPr="00AD008B" w:rsidRDefault="00AD008B" w:rsidP="00903F2F">
      <w:pPr>
        <w:numPr>
          <w:ilvl w:val="0"/>
          <w:numId w:val="34"/>
        </w:numPr>
        <w:spacing w:after="0" w:line="240" w:lineRule="auto"/>
        <w:jc w:val="both"/>
        <w:rPr>
          <w:rFonts w:eastAsia="Times New Roman" w:cstheme="minorHAnsi"/>
        </w:rPr>
      </w:pPr>
      <w:r w:rsidRPr="00AD008B">
        <w:rPr>
          <w:rFonts w:eastAsia="Times New Roman" w:cstheme="minorHAnsi"/>
        </w:rPr>
        <w:t>facilitarea accesului producătorilor agricoli la infrastructura centrului;</w:t>
      </w:r>
    </w:p>
    <w:p w14:paraId="50CA0E05" w14:textId="77777777" w:rsidR="00AD008B" w:rsidRPr="00AD008B" w:rsidRDefault="00AD008B" w:rsidP="00903F2F">
      <w:pPr>
        <w:numPr>
          <w:ilvl w:val="0"/>
          <w:numId w:val="34"/>
        </w:numPr>
        <w:spacing w:after="0" w:line="240" w:lineRule="auto"/>
        <w:jc w:val="both"/>
        <w:rPr>
          <w:rFonts w:eastAsia="Times New Roman" w:cstheme="minorHAnsi"/>
        </w:rPr>
      </w:pPr>
      <w:r w:rsidRPr="00AD008B">
        <w:rPr>
          <w:rFonts w:eastAsia="Times New Roman" w:cstheme="minorHAnsi"/>
        </w:rPr>
        <w:t>organizarea de activități de informare și consultanță privind standardele de comercializare;</w:t>
      </w:r>
    </w:p>
    <w:p w14:paraId="7288BA5E" w14:textId="77777777" w:rsidR="00AD008B" w:rsidRPr="00AD008B" w:rsidRDefault="00AD008B" w:rsidP="00903F2F">
      <w:pPr>
        <w:numPr>
          <w:ilvl w:val="0"/>
          <w:numId w:val="34"/>
        </w:numPr>
        <w:spacing w:after="0" w:line="240" w:lineRule="auto"/>
        <w:jc w:val="both"/>
        <w:rPr>
          <w:rFonts w:eastAsia="Times New Roman" w:cstheme="minorHAnsi"/>
        </w:rPr>
      </w:pPr>
      <w:r w:rsidRPr="00AD008B">
        <w:rPr>
          <w:rFonts w:eastAsia="Times New Roman" w:cstheme="minorHAnsi"/>
        </w:rPr>
        <w:t>promovarea produselor locale și regionale;</w:t>
      </w:r>
    </w:p>
    <w:p w14:paraId="02629F37" w14:textId="77777777" w:rsidR="00AD008B" w:rsidRPr="00AD008B" w:rsidRDefault="00AD008B" w:rsidP="00903F2F">
      <w:pPr>
        <w:numPr>
          <w:ilvl w:val="0"/>
          <w:numId w:val="34"/>
        </w:numPr>
        <w:spacing w:after="0" w:line="240" w:lineRule="auto"/>
        <w:jc w:val="both"/>
        <w:rPr>
          <w:rFonts w:eastAsia="Times New Roman" w:cstheme="minorHAnsi"/>
        </w:rPr>
      </w:pPr>
      <w:r w:rsidRPr="00AD008B">
        <w:rPr>
          <w:rFonts w:eastAsia="Times New Roman" w:cstheme="minorHAnsi"/>
        </w:rPr>
        <w:t>susținerea inițiativelor care contribuie la dezvoltarea lanțurilor scurte de aprovizionare.</w:t>
      </w:r>
    </w:p>
    <w:p w14:paraId="2567F5C0" w14:textId="77777777" w:rsidR="004A34ED" w:rsidRPr="00903F2F" w:rsidRDefault="004A34ED" w:rsidP="00903F2F">
      <w:pPr>
        <w:pStyle w:val="ListParagraph"/>
        <w:spacing w:after="0" w:line="240" w:lineRule="auto"/>
        <w:ind w:left="773"/>
        <w:jc w:val="both"/>
        <w:rPr>
          <w:rFonts w:cstheme="minorHAnsi"/>
        </w:rPr>
      </w:pPr>
    </w:p>
    <w:p w14:paraId="0FD8587B" w14:textId="77777777" w:rsidR="004A34ED" w:rsidRDefault="004A34ED" w:rsidP="00CE5D71">
      <w:pPr>
        <w:pStyle w:val="ListParagraph"/>
        <w:ind w:left="773"/>
      </w:pPr>
    </w:p>
    <w:p w14:paraId="65DBED38" w14:textId="77777777" w:rsidR="004A34ED" w:rsidRDefault="004A34ED" w:rsidP="00CE5D71">
      <w:pPr>
        <w:pStyle w:val="ListParagraph"/>
        <w:ind w:left="773"/>
      </w:pPr>
    </w:p>
    <w:sectPr w:rsidR="004A34ED" w:rsidSect="00807A75">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5EE7"/>
    <w:multiLevelType w:val="multilevel"/>
    <w:tmpl w:val="0EFAE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D72AA"/>
    <w:multiLevelType w:val="multilevel"/>
    <w:tmpl w:val="50BC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D4EE2"/>
    <w:multiLevelType w:val="hybridMultilevel"/>
    <w:tmpl w:val="D79055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63A34"/>
    <w:multiLevelType w:val="multilevel"/>
    <w:tmpl w:val="1B7C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4625BA"/>
    <w:multiLevelType w:val="multilevel"/>
    <w:tmpl w:val="EE6AF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D62271"/>
    <w:multiLevelType w:val="multilevel"/>
    <w:tmpl w:val="13D07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452570"/>
    <w:multiLevelType w:val="hybridMultilevel"/>
    <w:tmpl w:val="EFE2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D4008D5C">
      <w:numFmt w:val="bullet"/>
      <w:lvlText w:val="-"/>
      <w:lvlJc w:val="left"/>
      <w:pPr>
        <w:ind w:left="2880" w:hanging="360"/>
      </w:pPr>
      <w:rPr>
        <w:rFonts w:ascii="Calibri" w:eastAsiaTheme="minorHAnsi" w:hAnsi="Calibri" w:cs="Calibr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C2610"/>
    <w:multiLevelType w:val="multilevel"/>
    <w:tmpl w:val="D12E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F83B48"/>
    <w:multiLevelType w:val="multilevel"/>
    <w:tmpl w:val="E67A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16678D"/>
    <w:multiLevelType w:val="hybridMultilevel"/>
    <w:tmpl w:val="B4C803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83658"/>
    <w:multiLevelType w:val="multilevel"/>
    <w:tmpl w:val="10D0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0D22F8"/>
    <w:multiLevelType w:val="multilevel"/>
    <w:tmpl w:val="74C4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20119E"/>
    <w:multiLevelType w:val="multilevel"/>
    <w:tmpl w:val="26782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EB1DD3"/>
    <w:multiLevelType w:val="multilevel"/>
    <w:tmpl w:val="E05EF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CF7CA0"/>
    <w:multiLevelType w:val="multilevel"/>
    <w:tmpl w:val="CE0C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D65BE8"/>
    <w:multiLevelType w:val="multilevel"/>
    <w:tmpl w:val="4858C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5C02C8"/>
    <w:multiLevelType w:val="multilevel"/>
    <w:tmpl w:val="B0AE9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AB674C"/>
    <w:multiLevelType w:val="multilevel"/>
    <w:tmpl w:val="1DF4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147C3C"/>
    <w:multiLevelType w:val="multilevel"/>
    <w:tmpl w:val="B118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521208"/>
    <w:multiLevelType w:val="hybridMultilevel"/>
    <w:tmpl w:val="D80CF1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725105"/>
    <w:multiLevelType w:val="multilevel"/>
    <w:tmpl w:val="C952D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26317E"/>
    <w:multiLevelType w:val="hybridMultilevel"/>
    <w:tmpl w:val="EF9834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3E1810"/>
    <w:multiLevelType w:val="multilevel"/>
    <w:tmpl w:val="82267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88188F"/>
    <w:multiLevelType w:val="multilevel"/>
    <w:tmpl w:val="9446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063DCA"/>
    <w:multiLevelType w:val="multilevel"/>
    <w:tmpl w:val="4B6821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3B3E28"/>
    <w:multiLevelType w:val="multilevel"/>
    <w:tmpl w:val="69EE3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A76704"/>
    <w:multiLevelType w:val="multilevel"/>
    <w:tmpl w:val="C3089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EF2ADB"/>
    <w:multiLevelType w:val="multilevel"/>
    <w:tmpl w:val="8F785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953CCE"/>
    <w:multiLevelType w:val="multilevel"/>
    <w:tmpl w:val="D9DEC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8022F4"/>
    <w:multiLevelType w:val="hybridMultilevel"/>
    <w:tmpl w:val="39F26DC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0" w15:restartNumberingAfterBreak="0">
    <w:nsid w:val="6640004F"/>
    <w:multiLevelType w:val="hybridMultilevel"/>
    <w:tmpl w:val="E4705D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BA2B39"/>
    <w:multiLevelType w:val="multilevel"/>
    <w:tmpl w:val="C1CC6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D2228F"/>
    <w:multiLevelType w:val="multilevel"/>
    <w:tmpl w:val="E28A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007823"/>
    <w:multiLevelType w:val="multilevel"/>
    <w:tmpl w:val="4A261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FD6FB4"/>
    <w:multiLevelType w:val="multilevel"/>
    <w:tmpl w:val="584AA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8F3071"/>
    <w:multiLevelType w:val="multilevel"/>
    <w:tmpl w:val="17D82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FF5583"/>
    <w:multiLevelType w:val="hybridMultilevel"/>
    <w:tmpl w:val="9BFC95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737107"/>
    <w:multiLevelType w:val="multilevel"/>
    <w:tmpl w:val="B1DA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921260"/>
    <w:multiLevelType w:val="multilevel"/>
    <w:tmpl w:val="44E8F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FD2356"/>
    <w:multiLevelType w:val="multilevel"/>
    <w:tmpl w:val="8C9C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1450837">
    <w:abstractNumId w:val="6"/>
  </w:num>
  <w:num w:numId="2" w16cid:durableId="328145620">
    <w:abstractNumId w:val="29"/>
  </w:num>
  <w:num w:numId="3" w16cid:durableId="977758636">
    <w:abstractNumId w:val="15"/>
  </w:num>
  <w:num w:numId="4" w16cid:durableId="758405500">
    <w:abstractNumId w:val="24"/>
  </w:num>
  <w:num w:numId="5" w16cid:durableId="1040326649">
    <w:abstractNumId w:val="10"/>
  </w:num>
  <w:num w:numId="6" w16cid:durableId="1197545737">
    <w:abstractNumId w:val="38"/>
  </w:num>
  <w:num w:numId="7" w16cid:durableId="1745375491">
    <w:abstractNumId w:val="39"/>
  </w:num>
  <w:num w:numId="8" w16cid:durableId="1815097977">
    <w:abstractNumId w:val="26"/>
  </w:num>
  <w:num w:numId="9" w16cid:durableId="673805396">
    <w:abstractNumId w:val="8"/>
  </w:num>
  <w:num w:numId="10" w16cid:durableId="396320946">
    <w:abstractNumId w:val="14"/>
  </w:num>
  <w:num w:numId="11" w16cid:durableId="1463619876">
    <w:abstractNumId w:val="18"/>
  </w:num>
  <w:num w:numId="12" w16cid:durableId="1768228965">
    <w:abstractNumId w:val="3"/>
  </w:num>
  <w:num w:numId="13" w16cid:durableId="313489336">
    <w:abstractNumId w:val="16"/>
  </w:num>
  <w:num w:numId="14" w16cid:durableId="1209992248">
    <w:abstractNumId w:val="7"/>
  </w:num>
  <w:num w:numId="15" w16cid:durableId="1314990684">
    <w:abstractNumId w:val="22"/>
  </w:num>
  <w:num w:numId="16" w16cid:durableId="2103599263">
    <w:abstractNumId w:val="31"/>
  </w:num>
  <w:num w:numId="17" w16cid:durableId="646085975">
    <w:abstractNumId w:val="13"/>
  </w:num>
  <w:num w:numId="18" w16cid:durableId="1720401236">
    <w:abstractNumId w:val="12"/>
  </w:num>
  <w:num w:numId="19" w16cid:durableId="1952006729">
    <w:abstractNumId w:val="32"/>
  </w:num>
  <w:num w:numId="20" w16cid:durableId="429591687">
    <w:abstractNumId w:val="0"/>
  </w:num>
  <w:num w:numId="21" w16cid:durableId="1209102287">
    <w:abstractNumId w:val="17"/>
  </w:num>
  <w:num w:numId="22" w16cid:durableId="57899981">
    <w:abstractNumId w:val="11"/>
  </w:num>
  <w:num w:numId="23" w16cid:durableId="972640587">
    <w:abstractNumId w:val="33"/>
  </w:num>
  <w:num w:numId="24" w16cid:durableId="1539663769">
    <w:abstractNumId w:val="5"/>
  </w:num>
  <w:num w:numId="25" w16cid:durableId="536550216">
    <w:abstractNumId w:val="25"/>
  </w:num>
  <w:num w:numId="26" w16cid:durableId="1867715520">
    <w:abstractNumId w:val="23"/>
  </w:num>
  <w:num w:numId="27" w16cid:durableId="325280305">
    <w:abstractNumId w:val="34"/>
  </w:num>
  <w:num w:numId="28" w16cid:durableId="83889378">
    <w:abstractNumId w:val="4"/>
  </w:num>
  <w:num w:numId="29" w16cid:durableId="2025479184">
    <w:abstractNumId w:val="35"/>
  </w:num>
  <w:num w:numId="30" w16cid:durableId="721714592">
    <w:abstractNumId w:val="28"/>
  </w:num>
  <w:num w:numId="31" w16cid:durableId="1303537340">
    <w:abstractNumId w:val="20"/>
  </w:num>
  <w:num w:numId="32" w16cid:durableId="1213276617">
    <w:abstractNumId w:val="1"/>
  </w:num>
  <w:num w:numId="33" w16cid:durableId="1360161752">
    <w:abstractNumId w:val="27"/>
  </w:num>
  <w:num w:numId="34" w16cid:durableId="2025589614">
    <w:abstractNumId w:val="37"/>
  </w:num>
  <w:num w:numId="35" w16cid:durableId="1208293791">
    <w:abstractNumId w:val="19"/>
  </w:num>
  <w:num w:numId="36" w16cid:durableId="1931163111">
    <w:abstractNumId w:val="36"/>
  </w:num>
  <w:num w:numId="37" w16cid:durableId="2023702330">
    <w:abstractNumId w:val="2"/>
  </w:num>
  <w:num w:numId="38" w16cid:durableId="1930307165">
    <w:abstractNumId w:val="9"/>
  </w:num>
  <w:num w:numId="39" w16cid:durableId="2108846946">
    <w:abstractNumId w:val="21"/>
  </w:num>
  <w:num w:numId="40" w16cid:durableId="80072687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A75"/>
    <w:rsid w:val="000170A8"/>
    <w:rsid w:val="00066AEA"/>
    <w:rsid w:val="00175816"/>
    <w:rsid w:val="00196488"/>
    <w:rsid w:val="00221522"/>
    <w:rsid w:val="002D31C5"/>
    <w:rsid w:val="002F2053"/>
    <w:rsid w:val="003263E0"/>
    <w:rsid w:val="00350BE4"/>
    <w:rsid w:val="0036143E"/>
    <w:rsid w:val="00382446"/>
    <w:rsid w:val="003D6A6E"/>
    <w:rsid w:val="004305DC"/>
    <w:rsid w:val="004A34ED"/>
    <w:rsid w:val="00520D12"/>
    <w:rsid w:val="005C48BE"/>
    <w:rsid w:val="005F1D88"/>
    <w:rsid w:val="00604D5E"/>
    <w:rsid w:val="006A71E2"/>
    <w:rsid w:val="006E27E8"/>
    <w:rsid w:val="00716340"/>
    <w:rsid w:val="007548FF"/>
    <w:rsid w:val="00807A75"/>
    <w:rsid w:val="00853AAF"/>
    <w:rsid w:val="008915B9"/>
    <w:rsid w:val="008C4F3A"/>
    <w:rsid w:val="00903F2F"/>
    <w:rsid w:val="009100DB"/>
    <w:rsid w:val="009614A9"/>
    <w:rsid w:val="00973414"/>
    <w:rsid w:val="009879F2"/>
    <w:rsid w:val="009D1101"/>
    <w:rsid w:val="00A05D42"/>
    <w:rsid w:val="00AC20B6"/>
    <w:rsid w:val="00AD008B"/>
    <w:rsid w:val="00AD6CA0"/>
    <w:rsid w:val="00B71273"/>
    <w:rsid w:val="00B91500"/>
    <w:rsid w:val="00BE671C"/>
    <w:rsid w:val="00C65D9F"/>
    <w:rsid w:val="00C7225E"/>
    <w:rsid w:val="00C86FB0"/>
    <w:rsid w:val="00CA07E8"/>
    <w:rsid w:val="00CE5D71"/>
    <w:rsid w:val="00D058F6"/>
    <w:rsid w:val="00DA0AF6"/>
    <w:rsid w:val="00DD58EE"/>
    <w:rsid w:val="00E170E1"/>
    <w:rsid w:val="00EE752F"/>
    <w:rsid w:val="00EF2ED4"/>
    <w:rsid w:val="00F20139"/>
    <w:rsid w:val="00F46A25"/>
    <w:rsid w:val="00F56CE5"/>
    <w:rsid w:val="00F56EA0"/>
    <w:rsid w:val="00F90181"/>
    <w:rsid w:val="00FD2C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3EF64"/>
  <w15:docId w15:val="{302D42A6-1D6B-4EBB-A92B-CB6270DA7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A75"/>
    <w:pPr>
      <w:spacing w:after="200" w:line="276" w:lineRule="auto"/>
    </w:pPr>
    <w:rPr>
      <w:rFonts w:asciiTheme="minorHAnsi" w:hAnsiTheme="minorHAns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07A75"/>
    <w:pPr>
      <w:spacing w:after="0" w:line="240" w:lineRule="auto"/>
    </w:pPr>
    <w:rPr>
      <w:rFonts w:asciiTheme="minorHAnsi" w:eastAsiaTheme="minorEastAsia" w:hAnsiTheme="minorHAnsi"/>
      <w:kern w:val="0"/>
      <w:lang w:val="en-US"/>
      <w14:ligatures w14:val="none"/>
    </w:rPr>
  </w:style>
  <w:style w:type="character" w:customStyle="1" w:styleId="NoSpacingChar">
    <w:name w:val="No Spacing Char"/>
    <w:basedOn w:val="DefaultParagraphFont"/>
    <w:link w:val="NoSpacing"/>
    <w:uiPriority w:val="1"/>
    <w:rsid w:val="00807A75"/>
    <w:rPr>
      <w:rFonts w:asciiTheme="minorHAnsi" w:eastAsiaTheme="minorEastAsia" w:hAnsiTheme="minorHAnsi"/>
      <w:kern w:val="0"/>
      <w:lang w:val="en-US"/>
      <w14:ligatures w14:val="none"/>
    </w:rPr>
  </w:style>
  <w:style w:type="paragraph" w:styleId="ListParagraph">
    <w:name w:val="List Paragraph"/>
    <w:basedOn w:val="Normal"/>
    <w:uiPriority w:val="34"/>
    <w:qFormat/>
    <w:rsid w:val="0036143E"/>
    <w:pPr>
      <w:ind w:left="720"/>
      <w:contextualSpacing/>
    </w:pPr>
  </w:style>
  <w:style w:type="paragraph" w:styleId="BalloonText">
    <w:name w:val="Balloon Text"/>
    <w:basedOn w:val="Normal"/>
    <w:link w:val="BalloonTextChar"/>
    <w:uiPriority w:val="99"/>
    <w:semiHidden/>
    <w:unhideWhenUsed/>
    <w:rsid w:val="00520D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D12"/>
    <w:rPr>
      <w:rFonts w:ascii="Tahoma" w:hAnsi="Tahoma" w:cs="Tahoma"/>
      <w:kern w:val="0"/>
      <w:sz w:val="16"/>
      <w:szCs w:val="16"/>
      <w14:ligatures w14:val="none"/>
    </w:rPr>
  </w:style>
  <w:style w:type="character" w:styleId="Strong">
    <w:name w:val="Strong"/>
    <w:basedOn w:val="DefaultParagraphFont"/>
    <w:uiPriority w:val="22"/>
    <w:qFormat/>
    <w:rsid w:val="00EF2ED4"/>
    <w:rPr>
      <w:b/>
      <w:bCs/>
    </w:rPr>
  </w:style>
  <w:style w:type="character" w:customStyle="1" w:styleId="vkekvd">
    <w:name w:val="vkekvd"/>
    <w:basedOn w:val="DefaultParagraphFont"/>
    <w:rsid w:val="00EF2ED4"/>
  </w:style>
  <w:style w:type="paragraph" w:customStyle="1" w:styleId="df3vjf">
    <w:name w:val="df3vjf"/>
    <w:basedOn w:val="Normal"/>
    <w:rsid w:val="00EF2ED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286pc">
    <w:name w:val="t286pc"/>
    <w:basedOn w:val="DefaultParagraphFont"/>
    <w:rsid w:val="00EF2ED4"/>
  </w:style>
  <w:style w:type="character" w:styleId="Hyperlink">
    <w:name w:val="Hyperlink"/>
    <w:basedOn w:val="DefaultParagraphFont"/>
    <w:uiPriority w:val="99"/>
    <w:semiHidden/>
    <w:unhideWhenUsed/>
    <w:rsid w:val="005F1D88"/>
    <w:rPr>
      <w:color w:val="0000FF"/>
      <w:u w:val="single"/>
    </w:rPr>
  </w:style>
  <w:style w:type="character" w:customStyle="1" w:styleId="ifmvxd">
    <w:name w:val="ifmvxd"/>
    <w:basedOn w:val="DefaultParagraphFont"/>
    <w:rsid w:val="005F1D88"/>
  </w:style>
  <w:style w:type="character" w:customStyle="1" w:styleId="ijm6od">
    <w:name w:val="ijm6od"/>
    <w:basedOn w:val="DefaultParagraphFont"/>
    <w:rsid w:val="005F1D88"/>
  </w:style>
  <w:style w:type="paragraph" w:styleId="NormalWeb">
    <w:name w:val="Normal (Web)"/>
    <w:basedOn w:val="Normal"/>
    <w:uiPriority w:val="99"/>
    <w:semiHidden/>
    <w:unhideWhenUsed/>
    <w:rsid w:val="0019648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whitespace-normal">
    <w:name w:val="whitespace-normal"/>
    <w:basedOn w:val="DefaultParagraphFont"/>
    <w:rsid w:val="00196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otransilvania.ro/wp-content/uploads/2025/02/Procedura-Operationala-Etica-si-Integritate.pdf" TargetMode="External"/><Relationship Id="rId3" Type="http://schemas.openxmlformats.org/officeDocument/2006/relationships/numbering" Target="numbering.xml"/><Relationship Id="rId7" Type="http://schemas.openxmlformats.org/officeDocument/2006/relationships/hyperlink" Target="https://cjcluj.ro/guvernanta-corporativa-a-intreprinderilor-publi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Acest document se utilizează în cadrul lucrărilor Comisiei de Selecție și Nominalizare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2977BC-A115-43E1-B555-46E86C359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1447</Words>
  <Characters>8253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Cerințe contextuale ale societății Centrul Agro Transilvania Cluj SA</vt:lpstr>
    </vt:vector>
  </TitlesOfParts>
  <Company/>
  <LinksUpToDate>false</LinksUpToDate>
  <CharactersWithSpaces>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Cerințe contextuale ale societății Centrul Agro Transilvania Cluj SA</dc:title>
  <dc:subject/>
  <dc:creator>Pluri Consultants România</dc:creator>
  <cp:keywords/>
  <dc:description/>
  <cp:lastModifiedBy>Boboș Roxana-Maria</cp:lastModifiedBy>
  <cp:revision>5</cp:revision>
  <dcterms:created xsi:type="dcterms:W3CDTF">2026-03-09T09:32:00Z</dcterms:created>
  <dcterms:modified xsi:type="dcterms:W3CDTF">2026-03-09T09:47:00Z</dcterms:modified>
</cp:coreProperties>
</file>